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24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Каждый 12-й предприниматель страны получил поддержку Корпорации МСП в 2023 году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2023 году каждый 12-й предприниматель страны получил правительственную поддержку  по линии Корпорации МСП. В прошлом году мерами федерального института развития воспользовалось каждое 17-е малое или среднее предприятие. По сравнению с 2020 годом рост сос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тавил 3,5 раза. Это стало возможным за счет увеличения охвата финансовых программ, запуска механизма «зонтичных» поручительств, развития Цифровой платформы МСП.РФ и расширения квоты на закупки госкомпаний у малого и среднего бизнеса. Стратегия развития Кор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порации МСП предусматривает, что по итогам 2025 года господдержкой будет охвачен каждый 5-й предприниматель страны. Это будет достигнуто за счет цифровизации мер господдержки, упрощения процедуры их получения. 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Анализ Корпорации МСП показывает, что компании, получившие господдержку по линии Корпорации, показывают прирост дохода на 19% и рост занятости на 5%. В то же время аналогичные МСП без господдержки смогли получить рост дохода на 6%. 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«Сегодня благодаря цифровизации государство само предлагает меры поддержки предпринимателям, исходя из анализа их деятельности. В конце 2022 года мы запустили цифровой профиль на МСП.РФ. Платформа точно определяет, что нужно конкретной компании на данном э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тапе развития и предлагает необходимую поддержку, походящую именно этому бизнесу. В случае же отказа пользователь МСП.РФ всегда точно знает причины такого решения и может оперативно устранить недостатки, — отметил генеральный директор Корпорации МСП Алекса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ндр Исаевич. — На примере цифровизации работы государственных МФО мы можем наглядно видеть и анализировать причины отказов в микрозаймах, смотреть долю начинающих компаний».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Напомним, расширение господдержки бизнеса, в том числе через ее цифровизацию, предусмотрено нацпроектом «Малое и среднее предпринимательство». Он был инициирован Президентом Владимиром Путиным и курируется первым вице-премьером Андреем Белоусовым.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2023-12-18T11:06:36Z</dcterms:modified>
</cp:coreProperties>
</file>