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7E3B72">
        <w:rPr>
          <w:rFonts w:ascii="Times New Roman" w:hAnsi="Times New Roman" w:cs="Times New Roman"/>
          <w:b/>
          <w:noProof/>
          <w:sz w:val="32"/>
          <w:szCs w:val="32"/>
        </w:rPr>
        <w:t xml:space="preserve">ЛУЧКОВСКОГО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7E3B72">
        <w:rPr>
          <w:rFonts w:ascii="Times New Roman" w:hAnsi="Times New Roman" w:cs="Times New Roman"/>
          <w:b/>
          <w:noProof/>
          <w:sz w:val="32"/>
          <w:szCs w:val="32"/>
        </w:rPr>
        <w:t>16</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7E3B72">
        <w:rPr>
          <w:rFonts w:ascii="Times New Roman" w:hAnsi="Times New Roman" w:cs="Times New Roman"/>
          <w:b/>
          <w:noProof/>
          <w:sz w:val="32"/>
          <w:szCs w:val="32"/>
        </w:rPr>
        <w:t>26</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25141A" w:rsidP="008B2A39">
      <w:pPr>
        <w:spacing w:line="240" w:lineRule="auto"/>
        <w:jc w:val="center"/>
        <w:rPr>
          <w:rFonts w:ascii="Times New Roman" w:hAnsi="Times New Roman" w:cs="Times New Roman"/>
          <w:noProof/>
          <w:sz w:val="24"/>
          <w:szCs w:val="24"/>
        </w:rPr>
      </w:pPr>
    </w:p>
    <w:p w:rsidR="00371490" w:rsidRPr="003044B6" w:rsidRDefault="00872E49" w:rsidP="008B2A39">
      <w:pPr>
        <w:spacing w:line="240" w:lineRule="auto"/>
        <w:jc w:val="center"/>
        <w:rPr>
          <w:rFonts w:ascii="Times New Roman" w:hAnsi="Times New Roman" w:cs="Times New Roman"/>
          <w:b/>
          <w:bCs/>
          <w:noProof/>
          <w:sz w:val="24"/>
          <w:szCs w:val="24"/>
        </w:rPr>
      </w:pPr>
      <w:bookmarkStart w:id="0" w:name="_GoBack"/>
      <w:r w:rsidRPr="003044B6">
        <w:rPr>
          <w:rFonts w:ascii="Times New Roman" w:hAnsi="Times New Roman" w:cs="Times New Roman"/>
          <w:b/>
          <w:bCs/>
          <w:noProof/>
          <w:sz w:val="24"/>
          <w:szCs w:val="24"/>
        </w:rPr>
        <w:t>(Актуализация 2023</w:t>
      </w:r>
      <w:r w:rsidR="00371490" w:rsidRPr="003044B6">
        <w:rPr>
          <w:rFonts w:ascii="Times New Roman" w:hAnsi="Times New Roman" w:cs="Times New Roman"/>
          <w:b/>
          <w:bCs/>
          <w:noProof/>
          <w:sz w:val="24"/>
          <w:szCs w:val="24"/>
        </w:rPr>
        <w:t xml:space="preserve"> года)</w:t>
      </w:r>
    </w:p>
    <w:bookmarkEnd w:id="0"/>
    <w:p w:rsidR="00371490" w:rsidRPr="00EC794A" w:rsidRDefault="00371490"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EB701C">
          <w:pPr>
            <w:pStyle w:val="13"/>
            <w:tabs>
              <w:tab w:val="right" w:leader="dot" w:pos="9628"/>
            </w:tabs>
            <w:rPr>
              <w:rFonts w:ascii="Times New Roman" w:eastAsiaTheme="minorEastAsia" w:hAnsi="Times New Roman" w:cs="Times New Roman"/>
              <w:noProof/>
              <w:sz w:val="24"/>
              <w:szCs w:val="24"/>
              <w:lang w:eastAsia="ru-RU"/>
            </w:rPr>
          </w:pPr>
          <w:r w:rsidRPr="00EB701C">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B701C">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EB701C">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EB701C">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B701C">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B701C">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EB701C">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EB701C">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B701C">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B701C">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EB701C">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EB701C">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EB701C">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EB701C">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D3DEE">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B86531" w:rsidRPr="00EC794A" w:rsidRDefault="00EB701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E3B72">
        <w:rPr>
          <w:rFonts w:ascii="Times New Roman" w:hAnsi="Times New Roman" w:cs="Times New Roman"/>
          <w:noProof/>
          <w:sz w:val="24"/>
          <w:szCs w:val="24"/>
        </w:rPr>
        <w:t>Лучковского</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FA5C54">
        <w:rPr>
          <w:rFonts w:ascii="Times New Roman" w:hAnsi="Times New Roman" w:cs="Times New Roman"/>
          <w:noProof/>
          <w:sz w:val="24"/>
          <w:szCs w:val="24"/>
        </w:rPr>
        <w:t>16</w:t>
      </w:r>
      <w:r w:rsidRPr="00E82742">
        <w:rPr>
          <w:rFonts w:ascii="Times New Roman" w:hAnsi="Times New Roman" w:cs="Times New Roman"/>
          <w:noProof/>
          <w:sz w:val="24"/>
          <w:szCs w:val="24"/>
        </w:rPr>
        <w:t>-20</w:t>
      </w:r>
      <w:r w:rsidR="00FA5C54">
        <w:rPr>
          <w:rFonts w:ascii="Times New Roman" w:hAnsi="Times New Roman" w:cs="Times New Roman"/>
          <w:noProof/>
          <w:sz w:val="24"/>
          <w:szCs w:val="24"/>
        </w:rPr>
        <w:t>26</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7E3B72">
        <w:rPr>
          <w:rFonts w:ascii="Times New Roman" w:hAnsi="Times New Roman" w:cs="Times New Roman"/>
          <w:noProof/>
          <w:sz w:val="24"/>
          <w:szCs w:val="24"/>
        </w:rPr>
        <w:t>26</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7E3B72">
        <w:rPr>
          <w:rFonts w:ascii="Times New Roman" w:hAnsi="Times New Roman" w:cs="Times New Roman"/>
          <w:noProof/>
          <w:sz w:val="24"/>
          <w:szCs w:val="24"/>
        </w:rPr>
        <w:t>16</w:t>
      </w:r>
      <w:r w:rsidRPr="00E82742">
        <w:rPr>
          <w:rFonts w:ascii="Times New Roman" w:hAnsi="Times New Roman" w:cs="Times New Roman"/>
          <w:noProof/>
          <w:sz w:val="24"/>
          <w:szCs w:val="24"/>
        </w:rPr>
        <w:t>–20</w:t>
      </w:r>
      <w:r w:rsidR="007E3B72">
        <w:rPr>
          <w:rFonts w:ascii="Times New Roman" w:hAnsi="Times New Roman" w:cs="Times New Roman"/>
          <w:noProof/>
          <w:sz w:val="24"/>
          <w:szCs w:val="24"/>
        </w:rPr>
        <w:t>26</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7E3B7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E3B72">
              <w:rPr>
                <w:rFonts w:ascii="Times New Roman" w:hAnsi="Times New Roman" w:cs="Times New Roman"/>
                <w:noProof/>
                <w:sz w:val="24"/>
                <w:szCs w:val="24"/>
              </w:rPr>
              <w:t>Лучковского</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2016-</w:t>
            </w:r>
            <w:r w:rsidRPr="00E82742">
              <w:rPr>
                <w:rFonts w:ascii="Times New Roman" w:hAnsi="Times New Roman" w:cs="Times New Roman"/>
                <w:noProof/>
                <w:sz w:val="24"/>
                <w:szCs w:val="24"/>
              </w:rPr>
              <w:t>20</w:t>
            </w:r>
            <w:r w:rsidR="007E3B72">
              <w:rPr>
                <w:rFonts w:ascii="Times New Roman" w:hAnsi="Times New Roman" w:cs="Times New Roman"/>
                <w:noProof/>
                <w:sz w:val="24"/>
                <w:szCs w:val="24"/>
              </w:rPr>
              <w:t>26</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7E3B72">
              <w:rPr>
                <w:rFonts w:ascii="Times New Roman" w:hAnsi="Times New Roman" w:cs="Times New Roman"/>
                <w:noProof/>
                <w:sz w:val="24"/>
                <w:szCs w:val="24"/>
              </w:rPr>
              <w:t>Лучковского</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7E3B7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7E3B72">
              <w:rPr>
                <w:rFonts w:ascii="Times New Roman" w:hAnsi="Times New Roman" w:cs="Times New Roman"/>
                <w:noProof/>
                <w:sz w:val="24"/>
                <w:szCs w:val="24"/>
              </w:rPr>
              <w:t>16</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7E3B72">
              <w:rPr>
                <w:rFonts w:ascii="Times New Roman" w:hAnsi="Times New Roman" w:cs="Times New Roman"/>
                <w:noProof/>
                <w:sz w:val="24"/>
                <w:szCs w:val="24"/>
              </w:rPr>
              <w:t>26</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872398">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872398">
              <w:rPr>
                <w:rFonts w:ascii="Times New Roman" w:hAnsi="Times New Roman" w:cs="Times New Roman"/>
                <w:noProof/>
                <w:sz w:val="24"/>
                <w:szCs w:val="24"/>
              </w:rPr>
              <w:t>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7E3B72" w:rsidRPr="007E3B72" w:rsidRDefault="007E3B72" w:rsidP="007E3B72">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7E3B72">
        <w:rPr>
          <w:noProof/>
          <w:color w:val="000000"/>
          <w:sz w:val="24"/>
          <w:szCs w:val="24"/>
        </w:rPr>
        <w:t>Лучковско</w:t>
      </w:r>
      <w:r w:rsidR="00B8688D">
        <w:rPr>
          <w:noProof/>
          <w:color w:val="000000"/>
          <w:sz w:val="24"/>
          <w:szCs w:val="24"/>
        </w:rPr>
        <w:t>е</w:t>
      </w:r>
      <w:r w:rsidRPr="007E3B72">
        <w:rPr>
          <w:noProof/>
          <w:color w:val="000000"/>
          <w:sz w:val="24"/>
          <w:szCs w:val="24"/>
        </w:rPr>
        <w:t xml:space="preserve"> сельское поселение граничит с Яковлевским и Ивняским районами. Находится вблизи пгт. Яковлеве</w:t>
      </w:r>
    </w:p>
    <w:p w:rsidR="007E3B72" w:rsidRPr="007E3B72" w:rsidRDefault="007E3B72" w:rsidP="007E3B72">
      <w:pPr>
        <w:pStyle w:val="93"/>
        <w:shd w:val="clear" w:color="auto" w:fill="auto"/>
        <w:spacing w:line="240" w:lineRule="auto"/>
        <w:ind w:right="-2" w:firstLine="709"/>
        <w:jc w:val="both"/>
        <w:rPr>
          <w:noProof/>
          <w:color w:val="000000"/>
          <w:sz w:val="24"/>
          <w:szCs w:val="24"/>
        </w:rPr>
      </w:pPr>
      <w:r w:rsidRPr="007E3B72">
        <w:rPr>
          <w:noProof/>
          <w:color w:val="000000"/>
          <w:sz w:val="24"/>
          <w:szCs w:val="24"/>
        </w:rPr>
        <w:t>Лучковское сельское поселение, административным центром которого является село Лучки, в границах которого находятся село Нечаевка, хутор Петровский и граница которого проходит с северо-восточной и восточной сторон по границе Беленихинского сельского поселения; с юго-восточной, южной и юго-западной сторон по границе муниципального образования «Прохоровский район» и муниципального образования «Яковлевский район»; с западной и северо</w:t>
      </w:r>
      <w:r w:rsidRPr="007E3B72">
        <w:rPr>
          <w:noProof/>
          <w:color w:val="000000"/>
          <w:sz w:val="24"/>
          <w:szCs w:val="24"/>
        </w:rPr>
        <w:softHyphen/>
        <w:t>западной сторон проходит по границе муниципального образования «Прохоровский район» и муниципального образования «Ивнянский район». Лучковское сельское поселение занимает площадь 5400 га Численность населения сельского поселения составляет 570 человек, в том числе села Лучки -530 человека, села Нечаевка - 19 человек, и хутора Петровский - 21 человек</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A64674">
        <w:rPr>
          <w:noProof/>
          <w:color w:val="000000"/>
          <w:sz w:val="24"/>
          <w:szCs w:val="24"/>
        </w:rPr>
        <w:t>3</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с.Лучки</w:t>
      </w:r>
      <w:r w:rsidR="00095688">
        <w:rPr>
          <w:noProof/>
          <w:color w:val="000000"/>
          <w:sz w:val="24"/>
          <w:szCs w:val="24"/>
        </w:rPr>
        <w:t xml:space="preserve"> 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A64674">
        <w:rPr>
          <w:noProof/>
          <w:color w:val="000000"/>
          <w:sz w:val="24"/>
          <w:szCs w:val="24"/>
        </w:rPr>
        <w:t>а</w:t>
      </w:r>
      <w:r w:rsidRPr="00EC794A">
        <w:rPr>
          <w:noProof/>
          <w:color w:val="000000"/>
          <w:sz w:val="24"/>
          <w:szCs w:val="24"/>
        </w:rPr>
        <w:t xml:space="preserve"> и эксплуатиру</w:t>
      </w:r>
      <w:r w:rsidR="00A64674">
        <w:rPr>
          <w:noProof/>
          <w:color w:val="000000"/>
          <w:sz w:val="24"/>
          <w:szCs w:val="24"/>
        </w:rPr>
        <w:t>е</w:t>
      </w:r>
      <w:r w:rsidRPr="00EC794A">
        <w:rPr>
          <w:noProof/>
          <w:color w:val="000000"/>
          <w:sz w:val="24"/>
          <w:szCs w:val="24"/>
        </w:rPr>
        <w:t xml:space="preserve">тся </w:t>
      </w:r>
      <w:r w:rsidR="00A64674">
        <w:rPr>
          <w:noProof/>
          <w:color w:val="000000"/>
          <w:sz w:val="24"/>
          <w:szCs w:val="24"/>
        </w:rPr>
        <w:t>1</w:t>
      </w:r>
      <w:r w:rsidRPr="00EC794A">
        <w:rPr>
          <w:noProof/>
          <w:color w:val="000000"/>
          <w:sz w:val="24"/>
          <w:szCs w:val="24"/>
        </w:rPr>
        <w:t xml:space="preserve"> котельн</w:t>
      </w:r>
      <w:r w:rsidR="00A64674">
        <w:rPr>
          <w:noProof/>
          <w:color w:val="000000"/>
          <w:sz w:val="24"/>
          <w:szCs w:val="24"/>
        </w:rPr>
        <w:t>ая</w:t>
      </w:r>
      <w:r w:rsidRPr="00EC794A">
        <w:rPr>
          <w:noProof/>
          <w:color w:val="000000"/>
          <w:sz w:val="24"/>
          <w:szCs w:val="24"/>
        </w:rPr>
        <w:t xml:space="preserve"> подведомственн</w:t>
      </w:r>
      <w:r w:rsidR="00A64674">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A64674" w:rsidRDefault="00A64674" w:rsidP="00A64674">
      <w:pPr>
        <w:suppressAutoHyphens/>
        <w:spacing w:after="0" w:line="240" w:lineRule="auto"/>
        <w:ind w:firstLine="567"/>
        <w:jc w:val="center"/>
        <w:rPr>
          <w:rFonts w:ascii="Times New Roman" w:eastAsia="Times New Roman" w:hAnsi="Times New Roman" w:cs="Times New Roman"/>
          <w:b/>
          <w:sz w:val="24"/>
          <w:szCs w:val="24"/>
          <w:lang w:eastAsia="zh-CN"/>
        </w:rPr>
      </w:pPr>
      <w:r w:rsidRPr="00A64674">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Лучковскому сельскому поселению на период до 20</w:t>
      </w:r>
      <w:r w:rsidR="000F26E2">
        <w:rPr>
          <w:rFonts w:ascii="Times New Roman" w:eastAsia="Times New Roman" w:hAnsi="Times New Roman" w:cs="Times New Roman"/>
          <w:b/>
          <w:sz w:val="24"/>
          <w:szCs w:val="24"/>
          <w:lang w:eastAsia="zh-CN"/>
        </w:rPr>
        <w:t>32</w:t>
      </w:r>
      <w:r w:rsidRPr="00A64674">
        <w:rPr>
          <w:rFonts w:ascii="Times New Roman" w:eastAsia="Times New Roman" w:hAnsi="Times New Roman" w:cs="Times New Roman"/>
          <w:b/>
          <w:sz w:val="24"/>
          <w:szCs w:val="24"/>
          <w:lang w:eastAsia="zh-CN"/>
        </w:rPr>
        <w:t xml:space="preserve">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868"/>
        <w:gridCol w:w="2557"/>
        <w:gridCol w:w="1123"/>
        <w:gridCol w:w="1123"/>
        <w:gridCol w:w="1133"/>
        <w:gridCol w:w="1137"/>
      </w:tblGrid>
      <w:tr w:rsidR="000F26E2" w:rsidRPr="000F26E2" w:rsidTr="009244A4">
        <w:trPr>
          <w:trHeight w:val="20"/>
          <w:jc w:val="center"/>
        </w:trPr>
        <w:tc>
          <w:tcPr>
            <w:tcW w:w="1442"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b/>
                <w:sz w:val="18"/>
                <w:szCs w:val="24"/>
                <w:lang w:eastAsia="zh-CN"/>
              </w:rPr>
            </w:pPr>
            <w:r w:rsidRPr="000F26E2">
              <w:rPr>
                <w:rFonts w:ascii="Times New Roman" w:eastAsia="Times New Roman" w:hAnsi="Times New Roman" w:cs="Times New Roman"/>
                <w:b/>
                <w:sz w:val="18"/>
                <w:szCs w:val="24"/>
                <w:lang w:eastAsia="zh-CN"/>
              </w:rPr>
              <w:t>Наименование и адрес теплоисточника</w:t>
            </w:r>
          </w:p>
        </w:tc>
        <w:tc>
          <w:tcPr>
            <w:tcW w:w="128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b/>
                <w:sz w:val="18"/>
                <w:szCs w:val="24"/>
                <w:lang w:eastAsia="zh-CN"/>
              </w:rPr>
            </w:pPr>
            <w:r w:rsidRPr="000F26E2">
              <w:rPr>
                <w:rFonts w:ascii="Times New Roman" w:eastAsia="Times New Roman" w:hAnsi="Times New Roman" w:cs="Times New Roman"/>
                <w:b/>
                <w:sz w:val="18"/>
                <w:szCs w:val="24"/>
                <w:lang w:eastAsia="zh-CN"/>
              </w:rPr>
              <w:t>Вид</w:t>
            </w:r>
          </w:p>
          <w:p w:rsidR="000F26E2" w:rsidRPr="000F26E2" w:rsidRDefault="000F26E2" w:rsidP="000F26E2">
            <w:pPr>
              <w:suppressAutoHyphens/>
              <w:spacing w:after="0" w:line="240" w:lineRule="auto"/>
              <w:jc w:val="center"/>
              <w:rPr>
                <w:rFonts w:ascii="Times New Roman" w:eastAsia="Times New Roman" w:hAnsi="Times New Roman" w:cs="Times New Roman"/>
                <w:b/>
                <w:sz w:val="18"/>
                <w:szCs w:val="24"/>
                <w:lang w:eastAsia="zh-CN"/>
              </w:rPr>
            </w:pPr>
            <w:r w:rsidRPr="000F26E2">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b/>
                <w:sz w:val="18"/>
                <w:szCs w:val="24"/>
                <w:lang w:eastAsia="zh-CN"/>
              </w:rPr>
            </w:pPr>
            <w:r w:rsidRPr="000F26E2">
              <w:rPr>
                <w:rFonts w:ascii="Times New Roman" w:eastAsia="Times New Roman" w:hAnsi="Times New Roman" w:cs="Times New Roman"/>
                <w:b/>
                <w:sz w:val="18"/>
                <w:szCs w:val="24"/>
                <w:lang w:eastAsia="zh-CN"/>
              </w:rPr>
              <w:t>2022</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b/>
                <w:sz w:val="18"/>
                <w:szCs w:val="24"/>
                <w:lang w:eastAsia="zh-CN"/>
              </w:rPr>
            </w:pPr>
            <w:r w:rsidRPr="000F26E2">
              <w:rPr>
                <w:rFonts w:ascii="Times New Roman" w:eastAsia="Times New Roman" w:hAnsi="Times New Roman" w:cs="Times New Roman"/>
                <w:b/>
                <w:sz w:val="18"/>
                <w:szCs w:val="24"/>
                <w:lang w:eastAsia="zh-CN"/>
              </w:rPr>
              <w:t>2023</w:t>
            </w:r>
          </w:p>
        </w:tc>
        <w:tc>
          <w:tcPr>
            <w:tcW w:w="570"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b/>
                <w:sz w:val="18"/>
                <w:szCs w:val="24"/>
                <w:lang w:eastAsia="zh-CN"/>
              </w:rPr>
            </w:pPr>
            <w:r w:rsidRPr="000F26E2">
              <w:rPr>
                <w:rFonts w:ascii="Times New Roman" w:eastAsia="Times New Roman" w:hAnsi="Times New Roman" w:cs="Times New Roman"/>
                <w:b/>
                <w:sz w:val="18"/>
                <w:szCs w:val="24"/>
                <w:lang w:eastAsia="zh-CN"/>
              </w:rPr>
              <w:t>2024-2026</w:t>
            </w:r>
          </w:p>
        </w:tc>
        <w:tc>
          <w:tcPr>
            <w:tcW w:w="572"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b/>
                <w:sz w:val="18"/>
                <w:szCs w:val="24"/>
                <w:lang w:eastAsia="zh-CN"/>
              </w:rPr>
            </w:pPr>
            <w:r w:rsidRPr="000F26E2">
              <w:rPr>
                <w:rFonts w:ascii="Times New Roman" w:eastAsia="Times New Roman" w:hAnsi="Times New Roman" w:cs="Times New Roman"/>
                <w:b/>
                <w:sz w:val="18"/>
                <w:szCs w:val="24"/>
                <w:lang w:eastAsia="zh-CN"/>
              </w:rPr>
              <w:t>2027-2032</w:t>
            </w:r>
          </w:p>
        </w:tc>
      </w:tr>
      <w:tr w:rsidR="000F26E2" w:rsidRPr="000F26E2" w:rsidTr="009244A4">
        <w:trPr>
          <w:trHeight w:val="20"/>
          <w:jc w:val="center"/>
        </w:trPr>
        <w:tc>
          <w:tcPr>
            <w:tcW w:w="1442" w:type="pct"/>
            <w:vMerge w:val="restar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Котельная с. Лучки</w:t>
            </w:r>
          </w:p>
        </w:tc>
        <w:tc>
          <w:tcPr>
            <w:tcW w:w="128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c>
          <w:tcPr>
            <w:tcW w:w="570"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c>
          <w:tcPr>
            <w:tcW w:w="572"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r>
      <w:tr w:rsidR="000F26E2" w:rsidRPr="000F26E2" w:rsidTr="009244A4">
        <w:trPr>
          <w:trHeight w:val="20"/>
          <w:jc w:val="center"/>
        </w:trPr>
        <w:tc>
          <w:tcPr>
            <w:tcW w:w="1442" w:type="pct"/>
            <w:vMerge/>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p>
        </w:tc>
        <w:tc>
          <w:tcPr>
            <w:tcW w:w="128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ГВС</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c>
          <w:tcPr>
            <w:tcW w:w="570"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c>
          <w:tcPr>
            <w:tcW w:w="572"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r>
      <w:tr w:rsidR="000F26E2" w:rsidRPr="000F26E2" w:rsidTr="009244A4">
        <w:trPr>
          <w:trHeight w:val="20"/>
          <w:jc w:val="center"/>
        </w:trPr>
        <w:tc>
          <w:tcPr>
            <w:tcW w:w="1442" w:type="pct"/>
            <w:vMerge/>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p>
        </w:tc>
        <w:tc>
          <w:tcPr>
            <w:tcW w:w="128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c>
          <w:tcPr>
            <w:tcW w:w="570"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c>
          <w:tcPr>
            <w:tcW w:w="572"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w:t>
            </w:r>
          </w:p>
        </w:tc>
      </w:tr>
      <w:tr w:rsidR="000F26E2" w:rsidRPr="000F26E2" w:rsidTr="009244A4">
        <w:trPr>
          <w:trHeight w:val="20"/>
          <w:jc w:val="center"/>
        </w:trPr>
        <w:tc>
          <w:tcPr>
            <w:tcW w:w="1442"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ИТОГО по сельскому поселению:</w:t>
            </w:r>
          </w:p>
        </w:tc>
        <w:tc>
          <w:tcPr>
            <w:tcW w:w="128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Общее</w:t>
            </w:r>
          </w:p>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теплопотребление</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c>
          <w:tcPr>
            <w:tcW w:w="565"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c>
          <w:tcPr>
            <w:tcW w:w="570"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c>
          <w:tcPr>
            <w:tcW w:w="572"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18"/>
                <w:szCs w:val="24"/>
                <w:lang w:eastAsia="zh-CN"/>
              </w:rPr>
            </w:pPr>
            <w:r w:rsidRPr="000F26E2">
              <w:rPr>
                <w:rFonts w:ascii="Times New Roman" w:eastAsia="Times New Roman" w:hAnsi="Times New Roman" w:cs="Times New Roman"/>
                <w:sz w:val="18"/>
                <w:szCs w:val="24"/>
                <w:lang w:eastAsia="zh-CN"/>
              </w:rPr>
              <w:t>0,21</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7E3B72">
        <w:rPr>
          <w:rFonts w:ascii="Times New Roman" w:hAnsi="Times New Roman" w:cs="Times New Roman"/>
          <w:noProof/>
          <w:sz w:val="24"/>
          <w:szCs w:val="24"/>
        </w:rPr>
        <w:t>Лучковского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7E3B72">
        <w:rPr>
          <w:rFonts w:ascii="Times New Roman" w:eastAsia="Times New Roman" w:hAnsi="Times New Roman" w:cs="Times New Roman"/>
          <w:b/>
          <w:sz w:val="24"/>
          <w:szCs w:val="24"/>
          <w:lang w:eastAsia="zh-CN"/>
        </w:rPr>
        <w:t>Лучковского</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3"/>
        <w:gridCol w:w="1662"/>
        <w:gridCol w:w="3215"/>
        <w:gridCol w:w="1944"/>
        <w:gridCol w:w="2537"/>
      </w:tblGrid>
      <w:tr w:rsidR="00A64674" w:rsidRPr="00A64674" w:rsidTr="00D17F37">
        <w:trPr>
          <w:trHeight w:val="20"/>
        </w:trPr>
        <w:tc>
          <w:tcPr>
            <w:tcW w:w="293"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bookmarkStart w:id="11" w:name="_Toc26525893"/>
            <w:bookmarkStart w:id="12" w:name="_Toc35325717"/>
            <w:r w:rsidRPr="00A64674">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Подключенная тепловая нагрузка, Гкал/час</w:t>
            </w:r>
          </w:p>
        </w:tc>
      </w:tr>
      <w:tr w:rsidR="00A64674" w:rsidRPr="00A64674" w:rsidTr="00D17F37">
        <w:trPr>
          <w:trHeight w:val="20"/>
        </w:trPr>
        <w:tc>
          <w:tcPr>
            <w:tcW w:w="293"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 xml:space="preserve">Котельная </w:t>
            </w:r>
            <w:r w:rsidRPr="00A64674">
              <w:rPr>
                <w:rFonts w:ascii="Times New Roman" w:eastAsia="Times New Roman" w:hAnsi="Times New Roman" w:cs="Times New Roman"/>
                <w:color w:val="000000"/>
                <w:sz w:val="18"/>
                <w:szCs w:val="20"/>
                <w:lang w:eastAsia="ru-RU"/>
              </w:rPr>
              <w:br/>
              <w:t>с. Лучки</w:t>
            </w:r>
          </w:p>
        </w:tc>
        <w:tc>
          <w:tcPr>
            <w:tcW w:w="1617"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АО «Теплоэнергетик Прохоровского района»</w:t>
            </w:r>
          </w:p>
        </w:tc>
        <w:tc>
          <w:tcPr>
            <w:tcW w:w="978"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 xml:space="preserve">с. Лучки </w:t>
            </w:r>
          </w:p>
        </w:tc>
        <w:tc>
          <w:tcPr>
            <w:tcW w:w="1276" w:type="pct"/>
            <w:shd w:val="clear" w:color="auto" w:fill="FFFFFF"/>
            <w:vAlign w:val="center"/>
          </w:tcPr>
          <w:p w:rsidR="00A64674" w:rsidRPr="00A64674" w:rsidRDefault="000F26E2" w:rsidP="00A64674">
            <w:pPr>
              <w:widowControl w:val="0"/>
              <w:spacing w:after="0" w:line="240" w:lineRule="auto"/>
              <w:jc w:val="center"/>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18"/>
                <w:szCs w:val="20"/>
                <w:lang w:eastAsia="ru-RU"/>
              </w:rPr>
              <w:t>0,21</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Основными преимуществами подобных систем являются большая гибкость настройки и </w:t>
      </w:r>
      <w:r w:rsidRPr="00E9716E">
        <w:rPr>
          <w:rStyle w:val="affe"/>
          <w:color w:val="000000"/>
          <w:lang w:val="ru-RU"/>
        </w:rPr>
        <w:lastRenderedPageBreak/>
        <w:t>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C700D4">
        <w:rPr>
          <w:rStyle w:val="affe"/>
          <w:color w:val="000000"/>
          <w:lang w:val="ru-RU"/>
        </w:rPr>
        <w:t>Лучковском</w:t>
      </w:r>
      <w:r w:rsidRPr="00E9716E">
        <w:rPr>
          <w:rStyle w:val="affe"/>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Система водоснабжения Лучковского сельского поселения состоит из 1 технологической зоны, которая включают в себя скважины, водонапорную башню, водопроводную систему и потребителей.</w:t>
      </w:r>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10,85 км.</w:t>
      </w:r>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1C6AAB">
        <w:rPr>
          <w:rFonts w:ascii="Times New Roman" w:eastAsia="Calibri" w:hAnsi="Times New Roman" w:cs="Times New Roman"/>
          <w:sz w:val="24"/>
          <w:szCs w:val="24"/>
        </w:rPr>
        <w:t>Лучковском</w:t>
      </w:r>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
        <w:gridCol w:w="6490"/>
        <w:gridCol w:w="1573"/>
        <w:gridCol w:w="1168"/>
      </w:tblGrid>
      <w:tr w:rsidR="001C6AAB" w:rsidRPr="001C6AAB" w:rsidTr="001C6AAB">
        <w:trPr>
          <w:jc w:val="center"/>
        </w:trPr>
        <w:tc>
          <w:tcPr>
            <w:tcW w:w="447" w:type="pct"/>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 п/п</w:t>
            </w:r>
          </w:p>
        </w:tc>
        <w:tc>
          <w:tcPr>
            <w:tcW w:w="3201"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r w:rsidRPr="001C6AAB">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Глубина скважины</w:t>
            </w:r>
          </w:p>
        </w:tc>
        <w:tc>
          <w:tcPr>
            <w:tcW w:w="5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Год бурения</w:t>
            </w:r>
          </w:p>
        </w:tc>
      </w:tr>
      <w:tr w:rsidR="001C6AAB" w:rsidRPr="001C6AAB" w:rsidTr="001C6AAB">
        <w:trPr>
          <w:jc w:val="center"/>
        </w:trPr>
        <w:tc>
          <w:tcPr>
            <w:tcW w:w="44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w:t>
            </w:r>
          </w:p>
        </w:tc>
        <w:tc>
          <w:tcPr>
            <w:tcW w:w="3201" w:type="pct"/>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Прохоровский район, с.Лучки (Власова)</w:t>
            </w:r>
          </w:p>
        </w:tc>
        <w:tc>
          <w:tcPr>
            <w:tcW w:w="7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lang w:val="en-US"/>
              </w:rPr>
              <w:t>1</w:t>
            </w:r>
            <w:r w:rsidRPr="001C6AAB">
              <w:rPr>
                <w:rFonts w:ascii="Times New Roman" w:eastAsia="Calibri" w:hAnsi="Times New Roman" w:cs="Times New Roman"/>
                <w:sz w:val="18"/>
                <w:szCs w:val="18"/>
              </w:rPr>
              <w:t>05</w:t>
            </w:r>
          </w:p>
        </w:tc>
        <w:tc>
          <w:tcPr>
            <w:tcW w:w="5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lang w:val="en-US"/>
              </w:rPr>
              <w:t>197</w:t>
            </w:r>
            <w:r w:rsidRPr="001C6AAB">
              <w:rPr>
                <w:rFonts w:ascii="Times New Roman" w:eastAsia="Calibri" w:hAnsi="Times New Roman" w:cs="Times New Roman"/>
                <w:sz w:val="18"/>
                <w:szCs w:val="18"/>
              </w:rPr>
              <w:t>7</w:t>
            </w:r>
          </w:p>
        </w:tc>
      </w:tr>
      <w:tr w:rsidR="001C6AAB" w:rsidRPr="001C6AAB" w:rsidTr="001C6AAB">
        <w:trPr>
          <w:jc w:val="center"/>
        </w:trPr>
        <w:tc>
          <w:tcPr>
            <w:tcW w:w="44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Calibri" w:eastAsia="Calibri" w:hAnsi="Calibri" w:cs="Calibri"/>
                <w:sz w:val="18"/>
                <w:szCs w:val="18"/>
              </w:rPr>
              <w:t>2</w:t>
            </w:r>
          </w:p>
        </w:tc>
        <w:tc>
          <w:tcPr>
            <w:tcW w:w="3201" w:type="pct"/>
            <w:shd w:val="clear" w:color="auto" w:fill="auto"/>
          </w:tcPr>
          <w:p w:rsidR="001C6AAB" w:rsidRPr="001C6AAB" w:rsidRDefault="001C6AAB" w:rsidP="001C6AAB">
            <w:pPr>
              <w:widowControl w:val="0"/>
              <w:tabs>
                <w:tab w:val="left" w:pos="3975"/>
              </w:tabs>
              <w:spacing w:after="0" w:line="240" w:lineRule="auto"/>
              <w:rPr>
                <w:rFonts w:ascii="Times New Roman" w:eastAsia="Calibri" w:hAnsi="Times New Roman" w:cs="Times New Roman"/>
                <w:sz w:val="18"/>
                <w:szCs w:val="18"/>
              </w:rPr>
            </w:pPr>
            <w:r w:rsidRPr="001C6AAB">
              <w:rPr>
                <w:rFonts w:ascii="Times New Roman" w:eastAsia="Calibri" w:hAnsi="Times New Roman" w:cs="Times New Roman"/>
                <w:color w:val="000000"/>
                <w:sz w:val="18"/>
                <w:szCs w:val="18"/>
              </w:rPr>
              <w:t>Прохоровский район, с.Лучки (Центральная)</w:t>
            </w:r>
          </w:p>
        </w:tc>
        <w:tc>
          <w:tcPr>
            <w:tcW w:w="7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110</w:t>
            </w:r>
          </w:p>
        </w:tc>
        <w:tc>
          <w:tcPr>
            <w:tcW w:w="5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lang w:val="en-US"/>
              </w:rPr>
              <w:t>19</w:t>
            </w:r>
            <w:r w:rsidRPr="001C6AAB">
              <w:rPr>
                <w:rFonts w:ascii="Times New Roman" w:eastAsia="Calibri" w:hAnsi="Times New Roman" w:cs="Times New Roman"/>
                <w:sz w:val="18"/>
                <w:szCs w:val="18"/>
              </w:rPr>
              <w:t>69</w:t>
            </w:r>
          </w:p>
        </w:tc>
      </w:tr>
    </w:tbl>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1C6AAB">
        <w:rPr>
          <w:rFonts w:ascii="Times New Roman" w:eastAsia="Calibri" w:hAnsi="Times New Roman" w:cs="Times New Roman"/>
          <w:sz w:val="24"/>
          <w:szCs w:val="24"/>
        </w:rPr>
        <w:t>.</w:t>
      </w:r>
    </w:p>
    <w:p w:rsidR="001C6AAB" w:rsidRPr="001C6AAB" w:rsidRDefault="001C6AAB" w:rsidP="001C6AAB">
      <w:pPr>
        <w:widowControl w:val="0"/>
        <w:spacing w:after="0" w:line="240" w:lineRule="auto"/>
        <w:ind w:firstLine="709"/>
        <w:jc w:val="right"/>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944" w:type="pct"/>
        <w:tblInd w:w="108" w:type="dxa"/>
        <w:tblLayout w:type="fixed"/>
        <w:tblLook w:val="04A0"/>
      </w:tblPr>
      <w:tblGrid>
        <w:gridCol w:w="575"/>
        <w:gridCol w:w="1850"/>
        <w:gridCol w:w="1804"/>
        <w:gridCol w:w="1235"/>
        <w:gridCol w:w="692"/>
        <w:gridCol w:w="2111"/>
        <w:gridCol w:w="1756"/>
      </w:tblGrid>
      <w:tr w:rsidR="001C6AAB" w:rsidRPr="001C6AAB" w:rsidTr="00D17F37">
        <w:trPr>
          <w:trHeight w:val="855"/>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r w:rsidRPr="001C6AAB">
              <w:rPr>
                <w:rFonts w:ascii="Times New Roman" w:eastAsia="Calibri" w:hAnsi="Times New Roman" w:cs="Times New Roman"/>
                <w:b/>
                <w:bCs/>
                <w:color w:val="000000"/>
                <w:sz w:val="18"/>
                <w:szCs w:val="18"/>
                <w:lang w:val="en-US"/>
              </w:rPr>
              <w:t>№ п/п</w:t>
            </w:r>
          </w:p>
        </w:tc>
        <w:tc>
          <w:tcPr>
            <w:tcW w:w="923"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r w:rsidRPr="001C6AAB">
              <w:rPr>
                <w:rFonts w:ascii="Times New Roman" w:eastAsia="Calibri" w:hAnsi="Times New Roman" w:cs="Times New Roman"/>
                <w:b/>
                <w:bCs/>
                <w:color w:val="000000"/>
                <w:sz w:val="18"/>
                <w:szCs w:val="18"/>
                <w:lang w:val="en-US"/>
              </w:rPr>
              <w:t>Наименование оборудования</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r w:rsidRPr="001C6AAB">
              <w:rPr>
                <w:rFonts w:ascii="Times New Roman" w:eastAsia="Calibri" w:hAnsi="Times New Roman" w:cs="Times New Roman"/>
                <w:b/>
                <w:bCs/>
                <w:color w:val="000000"/>
                <w:sz w:val="18"/>
                <w:szCs w:val="18"/>
                <w:lang w:val="en-US"/>
              </w:rPr>
              <w:t>Год ввода в эксплуатацию</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rPr>
            </w:pPr>
            <w:r w:rsidRPr="001C6AAB">
              <w:rPr>
                <w:rFonts w:ascii="Times New Roman" w:eastAsia="Calibri" w:hAnsi="Times New Roman" w:cs="Times New Roman"/>
                <w:b/>
                <w:bCs/>
                <w:color w:val="000000"/>
                <w:sz w:val="18"/>
                <w:szCs w:val="18"/>
                <w:lang w:val="en-US"/>
              </w:rPr>
              <w:t>Q</w:t>
            </w:r>
            <w:r w:rsidRPr="001C6AAB">
              <w:rPr>
                <w:rFonts w:ascii="Times New Roman" w:eastAsia="Calibri" w:hAnsi="Times New Roman" w:cs="Times New Roman"/>
                <w:b/>
                <w:bCs/>
                <w:color w:val="000000"/>
                <w:sz w:val="18"/>
                <w:szCs w:val="18"/>
              </w:rPr>
              <w:t>, по паспорту м3/час</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r w:rsidRPr="001C6AAB">
              <w:rPr>
                <w:rFonts w:ascii="Times New Roman" w:eastAsia="Calibri" w:hAnsi="Times New Roman" w:cs="Times New Roman"/>
                <w:b/>
                <w:bCs/>
                <w:color w:val="000000"/>
                <w:sz w:val="18"/>
                <w:szCs w:val="18"/>
                <w:lang w:val="en-US"/>
              </w:rPr>
              <w:t>H, м</w:t>
            </w:r>
          </w:p>
        </w:tc>
        <w:tc>
          <w:tcPr>
            <w:tcW w:w="1053"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r w:rsidRPr="001C6AAB">
              <w:rPr>
                <w:rFonts w:ascii="Times New Roman" w:eastAsia="Calibri" w:hAnsi="Times New Roman" w:cs="Times New Roman"/>
                <w:b/>
                <w:bCs/>
                <w:color w:val="000000"/>
                <w:sz w:val="18"/>
                <w:szCs w:val="18"/>
                <w:lang w:val="en-US"/>
              </w:rPr>
              <w:t>Маркаэлектродвигателя</w:t>
            </w:r>
          </w:p>
        </w:tc>
        <w:tc>
          <w:tcPr>
            <w:tcW w:w="876" w:type="pct"/>
            <w:tcBorders>
              <w:top w:val="single" w:sz="4" w:space="0" w:color="auto"/>
              <w:left w:val="nil"/>
              <w:bottom w:val="single" w:sz="4" w:space="0" w:color="auto"/>
              <w:right w:val="single" w:sz="4" w:space="0" w:color="auto"/>
            </w:tcBorders>
            <w:shd w:val="clear" w:color="auto" w:fill="auto"/>
          </w:tcPr>
          <w:p w:rsidR="001C6AAB" w:rsidRPr="001C6AAB" w:rsidRDefault="001C6AAB" w:rsidP="001C6AAB">
            <w:pPr>
              <w:spacing w:after="0" w:line="240" w:lineRule="auto"/>
              <w:jc w:val="center"/>
              <w:rPr>
                <w:rFonts w:ascii="Times New Roman" w:eastAsia="Calibri" w:hAnsi="Times New Roman" w:cs="Times New Roman"/>
                <w:b/>
                <w:bCs/>
                <w:sz w:val="18"/>
                <w:szCs w:val="18"/>
                <w:lang w:val="en-US"/>
              </w:rPr>
            </w:pPr>
            <w:r w:rsidRPr="001C6AAB">
              <w:rPr>
                <w:rFonts w:ascii="Times New Roman" w:eastAsia="Calibri" w:hAnsi="Times New Roman" w:cs="Times New Roman"/>
                <w:b/>
                <w:bCs/>
                <w:sz w:val="18"/>
                <w:szCs w:val="18"/>
                <w:lang w:val="en-US"/>
              </w:rPr>
              <w:t>Степеньфизическогоизносаоборудования</w:t>
            </w:r>
          </w:p>
        </w:tc>
      </w:tr>
      <w:tr w:rsidR="001C6AAB" w:rsidRPr="001C6AAB" w:rsidTr="00D17F37">
        <w:trPr>
          <w:trHeight w:val="244"/>
        </w:trPr>
        <w:tc>
          <w:tcPr>
            <w:tcW w:w="412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rPr>
            </w:pPr>
            <w:r w:rsidRPr="001C6AAB">
              <w:rPr>
                <w:rFonts w:ascii="Times New Roman" w:eastAsia="Calibri" w:hAnsi="Times New Roman" w:cs="Times New Roman"/>
                <w:b/>
                <w:bCs/>
                <w:color w:val="000000"/>
                <w:sz w:val="18"/>
                <w:szCs w:val="18"/>
                <w:lang w:val="en-US"/>
              </w:rPr>
              <w:t>с.</w:t>
            </w:r>
            <w:r w:rsidRPr="001C6AAB">
              <w:rPr>
                <w:rFonts w:ascii="Times New Roman" w:eastAsia="Calibri" w:hAnsi="Times New Roman" w:cs="Times New Roman"/>
                <w:b/>
                <w:bCs/>
                <w:color w:val="000000"/>
                <w:sz w:val="18"/>
                <w:szCs w:val="18"/>
              </w:rPr>
              <w:t>Лучки</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p>
        </w:tc>
      </w:tr>
      <w:tr w:rsidR="001C6AAB" w:rsidRPr="001C6AAB" w:rsidTr="00D17F37">
        <w:trPr>
          <w:trHeight w:val="244"/>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1</w:t>
            </w:r>
          </w:p>
        </w:tc>
        <w:tc>
          <w:tcPr>
            <w:tcW w:w="923"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lang w:val="en-US"/>
              </w:rPr>
              <w:t>ЭЦВ 6-10-</w:t>
            </w:r>
            <w:r w:rsidRPr="001C6AAB">
              <w:rPr>
                <w:rFonts w:ascii="Times New Roman" w:eastAsia="Calibri" w:hAnsi="Times New Roman" w:cs="Times New Roman"/>
                <w:bCs/>
                <w:color w:val="000000"/>
                <w:sz w:val="18"/>
                <w:szCs w:val="18"/>
              </w:rPr>
              <w:t>80</w:t>
            </w:r>
          </w:p>
        </w:tc>
        <w:tc>
          <w:tcPr>
            <w:tcW w:w="900"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1977</w:t>
            </w:r>
          </w:p>
        </w:tc>
        <w:tc>
          <w:tcPr>
            <w:tcW w:w="616"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10</w:t>
            </w:r>
          </w:p>
        </w:tc>
        <w:tc>
          <w:tcPr>
            <w:tcW w:w="345"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80</w:t>
            </w:r>
          </w:p>
        </w:tc>
        <w:tc>
          <w:tcPr>
            <w:tcW w:w="1053" w:type="pct"/>
            <w:tcBorders>
              <w:top w:val="single" w:sz="4" w:space="0" w:color="auto"/>
              <w:left w:val="nil"/>
              <w:bottom w:val="single" w:sz="4" w:space="0" w:color="auto"/>
              <w:right w:val="single" w:sz="4" w:space="0" w:color="auto"/>
            </w:tcBorders>
            <w:shd w:val="clear" w:color="auto" w:fill="auto"/>
          </w:tcPr>
          <w:p w:rsidR="001C6AAB" w:rsidRPr="001C6AAB" w:rsidRDefault="001C6AAB" w:rsidP="001C6AAB">
            <w:pPr>
              <w:widowControl w:val="0"/>
              <w:spacing w:after="0" w:line="240" w:lineRule="auto"/>
              <w:rPr>
                <w:rFonts w:ascii="Times New Roman" w:eastAsia="Calibri" w:hAnsi="Times New Roman" w:cs="Times New Roman"/>
                <w:sz w:val="18"/>
                <w:szCs w:val="18"/>
              </w:rPr>
            </w:pPr>
            <w:r w:rsidRPr="001C6AAB">
              <w:rPr>
                <w:rFonts w:ascii="Times New Roman" w:eastAsia="Calibri" w:hAnsi="Times New Roman" w:cs="Times New Roman"/>
                <w:color w:val="000000"/>
                <w:sz w:val="18"/>
                <w:szCs w:val="18"/>
                <w:lang w:val="en-US"/>
              </w:rPr>
              <w:t>ПЭДВ-</w:t>
            </w:r>
            <w:r w:rsidRPr="001C6AAB">
              <w:rPr>
                <w:rFonts w:ascii="Times New Roman" w:eastAsia="Calibri" w:hAnsi="Times New Roman" w:cs="Times New Roman"/>
                <w:color w:val="000000"/>
                <w:sz w:val="18"/>
                <w:szCs w:val="18"/>
              </w:rPr>
              <w:t>5,5</w:t>
            </w:r>
          </w:p>
        </w:tc>
        <w:tc>
          <w:tcPr>
            <w:tcW w:w="876" w:type="pct"/>
            <w:tcBorders>
              <w:top w:val="single" w:sz="4" w:space="0" w:color="auto"/>
              <w:left w:val="nil"/>
              <w:bottom w:val="single" w:sz="4" w:space="0" w:color="auto"/>
              <w:right w:val="single" w:sz="4" w:space="0" w:color="auto"/>
            </w:tcBorders>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Д</w:t>
            </w:r>
          </w:p>
        </w:tc>
      </w:tr>
      <w:tr w:rsidR="001C6AAB" w:rsidRPr="001C6AAB" w:rsidTr="00D17F37">
        <w:trPr>
          <w:trHeight w:val="267"/>
        </w:trPr>
        <w:tc>
          <w:tcPr>
            <w:tcW w:w="287" w:type="pct"/>
            <w:tcBorders>
              <w:top w:val="nil"/>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2</w:t>
            </w:r>
          </w:p>
        </w:tc>
        <w:tc>
          <w:tcPr>
            <w:tcW w:w="923" w:type="pct"/>
            <w:tcBorders>
              <w:top w:val="nil"/>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lang w:val="en-US"/>
              </w:rPr>
              <w:t>ЭЦВ 6-10-</w:t>
            </w:r>
            <w:r w:rsidRPr="001C6AAB">
              <w:rPr>
                <w:rFonts w:ascii="Times New Roman" w:eastAsia="Calibri" w:hAnsi="Times New Roman" w:cs="Times New Roman"/>
                <w:bCs/>
                <w:color w:val="000000"/>
                <w:sz w:val="18"/>
                <w:szCs w:val="18"/>
              </w:rPr>
              <w:t>140</w:t>
            </w:r>
          </w:p>
        </w:tc>
        <w:tc>
          <w:tcPr>
            <w:tcW w:w="900" w:type="pct"/>
            <w:tcBorders>
              <w:top w:val="nil"/>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1969</w:t>
            </w:r>
          </w:p>
        </w:tc>
        <w:tc>
          <w:tcPr>
            <w:tcW w:w="616" w:type="pct"/>
            <w:tcBorders>
              <w:top w:val="nil"/>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10</w:t>
            </w:r>
          </w:p>
        </w:tc>
        <w:tc>
          <w:tcPr>
            <w:tcW w:w="345" w:type="pct"/>
            <w:tcBorders>
              <w:top w:val="nil"/>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140</w:t>
            </w:r>
          </w:p>
        </w:tc>
        <w:tc>
          <w:tcPr>
            <w:tcW w:w="1053" w:type="pct"/>
            <w:tcBorders>
              <w:top w:val="nil"/>
              <w:left w:val="nil"/>
              <w:bottom w:val="single" w:sz="4" w:space="0" w:color="auto"/>
              <w:right w:val="single" w:sz="4" w:space="0" w:color="auto"/>
            </w:tcBorders>
            <w:shd w:val="clear" w:color="auto" w:fill="auto"/>
            <w:noWrap/>
          </w:tcPr>
          <w:p w:rsidR="001C6AAB" w:rsidRPr="001C6AAB" w:rsidRDefault="001C6AAB" w:rsidP="001C6AAB">
            <w:pPr>
              <w:widowControl w:val="0"/>
              <w:spacing w:after="0" w:line="240" w:lineRule="auto"/>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lang w:val="en-US"/>
              </w:rPr>
              <w:t>ПЭДВ-</w:t>
            </w:r>
            <w:r w:rsidRPr="001C6AAB">
              <w:rPr>
                <w:rFonts w:ascii="Times New Roman" w:eastAsia="Calibri" w:hAnsi="Times New Roman" w:cs="Times New Roman"/>
                <w:color w:val="000000"/>
                <w:sz w:val="18"/>
                <w:szCs w:val="18"/>
              </w:rPr>
              <w:t>6,3</w:t>
            </w:r>
          </w:p>
        </w:tc>
        <w:tc>
          <w:tcPr>
            <w:tcW w:w="876" w:type="pct"/>
            <w:tcBorders>
              <w:top w:val="nil"/>
              <w:left w:val="nil"/>
              <w:bottom w:val="single" w:sz="4" w:space="0" w:color="auto"/>
              <w:right w:val="single" w:sz="4" w:space="0" w:color="auto"/>
            </w:tcBorders>
            <w:shd w:val="clear" w:color="auto" w:fill="auto"/>
          </w:tcPr>
          <w:p w:rsidR="001C6AAB" w:rsidRPr="001C6AAB" w:rsidRDefault="00304D46" w:rsidP="001C6AAB">
            <w:pPr>
              <w:widowControl w:val="0"/>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Д</w:t>
            </w:r>
          </w:p>
        </w:tc>
      </w:tr>
    </w:tbl>
    <w:p w:rsidR="001C6AAB" w:rsidRPr="001C6AAB" w:rsidRDefault="001C6AAB" w:rsidP="001C6AAB">
      <w:pPr>
        <w:widowControl w:val="0"/>
        <w:spacing w:after="0" w:line="240" w:lineRule="auto"/>
        <w:ind w:firstLine="709"/>
        <w:jc w:val="right"/>
        <w:rPr>
          <w:rFonts w:ascii="Times New Roman" w:eastAsia="Calibri" w:hAnsi="Times New Roman" w:cs="Times New Roman"/>
          <w:sz w:val="24"/>
          <w:szCs w:val="24"/>
        </w:rPr>
      </w:pPr>
    </w:p>
    <w:p w:rsidR="001C6AAB" w:rsidRPr="001C6AAB" w:rsidRDefault="001C6AAB" w:rsidP="001C6AAB">
      <w:pPr>
        <w:widowControl w:val="0"/>
        <w:spacing w:after="0" w:line="240" w:lineRule="auto"/>
        <w:ind w:firstLine="567"/>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Для оценки степени физического износа водозаборных скважин Лучковского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1C6AAB" w:rsidRPr="001C6AAB" w:rsidRDefault="001C6AAB" w:rsidP="001C6AAB">
      <w:pPr>
        <w:widowControl w:val="0"/>
        <w:spacing w:after="0" w:line="240" w:lineRule="auto"/>
        <w:ind w:firstLine="567"/>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1C6AAB">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1C6AAB">
        <w:rPr>
          <w:rFonts w:ascii="Times New Roman" w:eastAsia="Calibri" w:hAnsi="Times New Roman" w:cs="Times New Roman"/>
          <w:sz w:val="24"/>
          <w:szCs w:val="24"/>
          <w:lang w:eastAsia="ar-SA"/>
        </w:rPr>
        <w:t xml:space="preserve"> «</w:t>
      </w:r>
      <w:r w:rsidRPr="001C6AAB">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1C6AAB" w:rsidRPr="001C6AAB" w:rsidRDefault="001C6AAB" w:rsidP="001C6AAB">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1C6AAB">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1C6AAB" w:rsidRPr="001C6AAB" w:rsidRDefault="001C6AAB" w:rsidP="001C6AAB">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1C6AAB" w:rsidRPr="001C6AAB" w:rsidRDefault="001C6AAB" w:rsidP="001C6AAB">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1C6AAB" w:rsidRPr="001C6AAB" w:rsidRDefault="001C6AAB" w:rsidP="001C6AAB">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1C6AAB" w:rsidRPr="001C6AAB" w:rsidRDefault="001C6AAB" w:rsidP="001C6AAB">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ab/>
        <w:t>- системы инженерного обеспечения.</w:t>
      </w:r>
    </w:p>
    <w:p w:rsidR="001C6AAB" w:rsidRPr="001C6AAB" w:rsidRDefault="001C6AAB" w:rsidP="001C6AAB">
      <w:pPr>
        <w:widowControl w:val="0"/>
        <w:spacing w:after="0" w:line="240" w:lineRule="auto"/>
        <w:ind w:firstLine="567"/>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w:t>
      </w:r>
      <w:r w:rsidRPr="001C6AAB">
        <w:rPr>
          <w:rFonts w:ascii="Times New Roman" w:eastAsia="Calibri" w:hAnsi="Times New Roman" w:cs="Times New Roman"/>
          <w:sz w:val="24"/>
          <w:szCs w:val="24"/>
          <w:lang w:eastAsia="ar-SA"/>
        </w:rPr>
        <w:lastRenderedPageBreak/>
        <w:t>характер технологических повреждений.</w:t>
      </w:r>
    </w:p>
    <w:p w:rsidR="001C6AAB" w:rsidRPr="001C6AAB" w:rsidRDefault="001C6AAB" w:rsidP="001C6AAB">
      <w:pPr>
        <w:widowControl w:val="0"/>
        <w:spacing w:after="0"/>
        <w:ind w:firstLine="567"/>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Заключение о техническом состоянии водозаборных </w:t>
      </w:r>
      <w:r w:rsidRPr="001C6AAB">
        <w:rPr>
          <w:rFonts w:ascii="Times New Roman" w:eastAsia="Calibri" w:hAnsi="Times New Roman" w:cs="Times New Roman"/>
          <w:sz w:val="24"/>
          <w:szCs w:val="24"/>
          <w:lang w:eastAsia="ar-SA"/>
        </w:rPr>
        <w:t>скважин Лучковского сельского поселения</w:t>
      </w:r>
      <w:r w:rsidRPr="001C6AAB">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1C6AAB">
        <w:rPr>
          <w:rFonts w:ascii="Times New Roman" w:eastAsia="Calibri" w:hAnsi="Times New Roman" w:cs="Times New Roman"/>
          <w:sz w:val="24"/>
          <w:szCs w:val="24"/>
        </w:rPr>
        <w:t>.</w:t>
      </w:r>
    </w:p>
    <w:p w:rsidR="001C6AAB" w:rsidRPr="001C6AAB" w:rsidRDefault="001C6AAB" w:rsidP="001C6AAB">
      <w:pPr>
        <w:keepNext/>
        <w:widowControl w:val="0"/>
        <w:spacing w:after="0"/>
        <w:ind w:firstLine="567"/>
        <w:jc w:val="right"/>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tblPr>
      <w:tblGrid>
        <w:gridCol w:w="742"/>
        <w:gridCol w:w="2903"/>
        <w:gridCol w:w="1452"/>
        <w:gridCol w:w="2613"/>
        <w:gridCol w:w="2427"/>
      </w:tblGrid>
      <w:tr w:rsidR="001C6AAB" w:rsidRPr="001C6AAB" w:rsidTr="00D17F37">
        <w:trPr>
          <w:trHeight w:val="853"/>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Показатель технического состояния, %</w:t>
            </w:r>
          </w:p>
        </w:tc>
      </w:tr>
      <w:tr w:rsidR="001C6AAB" w:rsidRPr="001C6AAB" w:rsidTr="00D17F37">
        <w:trPr>
          <w:trHeight w:val="482"/>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Прохоровский район, с.Лучки (Власова)</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1977</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100</w:t>
            </w:r>
          </w:p>
        </w:tc>
      </w:tr>
      <w:tr w:rsidR="001C6AAB" w:rsidRPr="001C6AAB" w:rsidTr="00D17F37">
        <w:trPr>
          <w:trHeight w:val="547"/>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1C6AAB" w:rsidRPr="001C6AAB" w:rsidRDefault="001C6AAB" w:rsidP="001C6AAB">
            <w:pPr>
              <w:widowControl w:val="0"/>
              <w:tabs>
                <w:tab w:val="left" w:pos="3975"/>
              </w:tabs>
              <w:spacing w:after="0" w:line="240" w:lineRule="auto"/>
              <w:rPr>
                <w:rFonts w:ascii="Times New Roman" w:eastAsia="Calibri" w:hAnsi="Times New Roman" w:cs="Times New Roman"/>
                <w:sz w:val="18"/>
                <w:szCs w:val="18"/>
              </w:rPr>
            </w:pPr>
            <w:r w:rsidRPr="001C6AAB">
              <w:rPr>
                <w:rFonts w:ascii="Times New Roman" w:eastAsia="Calibri" w:hAnsi="Times New Roman" w:cs="Times New Roman"/>
                <w:color w:val="000000"/>
                <w:sz w:val="18"/>
                <w:szCs w:val="18"/>
              </w:rPr>
              <w:t>Прохоровский район, с.Лучки (Центральная)</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1969</w:t>
            </w:r>
          </w:p>
        </w:tc>
        <w:tc>
          <w:tcPr>
            <w:tcW w:w="1289"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100</w:t>
            </w:r>
          </w:p>
        </w:tc>
      </w:tr>
    </w:tbl>
    <w:p w:rsidR="001C6AAB" w:rsidRPr="001C6AAB" w:rsidRDefault="001C6AAB" w:rsidP="001C6AAB">
      <w:pPr>
        <w:widowControl w:val="0"/>
        <w:spacing w:after="0" w:line="240" w:lineRule="auto"/>
        <w:ind w:left="142" w:firstLine="425"/>
        <w:jc w:val="both"/>
        <w:rPr>
          <w:rFonts w:ascii="Times New Roman" w:eastAsia="Calibri" w:hAnsi="Times New Roman" w:cs="Times New Roman"/>
          <w:bCs/>
          <w:sz w:val="24"/>
          <w:szCs w:val="24"/>
          <w:highlight w:val="lightGray"/>
        </w:rPr>
      </w:pPr>
      <w:r w:rsidRPr="001C6AAB">
        <w:rPr>
          <w:rFonts w:ascii="Times New Roman" w:eastAsia="Calibri" w:hAnsi="Times New Roman" w:cs="Times New Roman"/>
          <w:sz w:val="24"/>
          <w:szCs w:val="24"/>
        </w:rPr>
        <w:t xml:space="preserve">Вода в Лучковском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rPr>
        <w:t>6</w:t>
      </w:r>
      <w:r w:rsidRPr="001C6AAB">
        <w:rPr>
          <w:rFonts w:ascii="Times New Roman" w:eastAsia="Calibri" w:hAnsi="Times New Roman" w:cs="Times New Roman"/>
          <w:sz w:val="24"/>
          <w:szCs w:val="24"/>
        </w:rPr>
        <w:t>.</w:t>
      </w:r>
    </w:p>
    <w:p w:rsidR="001C6AAB" w:rsidRPr="001C6AAB" w:rsidRDefault="001C6AAB" w:rsidP="001C6AAB">
      <w:pPr>
        <w:spacing w:after="0" w:line="240" w:lineRule="auto"/>
        <w:ind w:firstLine="567"/>
        <w:jc w:val="right"/>
        <w:rPr>
          <w:rFonts w:ascii="Times New Roman" w:eastAsia="Times New Roman" w:hAnsi="Times New Roman" w:cs="Times New Roman"/>
          <w:sz w:val="24"/>
          <w:szCs w:val="24"/>
          <w:lang w:eastAsia="ar-SA"/>
        </w:rPr>
      </w:pPr>
      <w:r w:rsidRPr="001C6AAB">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1942"/>
        <w:gridCol w:w="2192"/>
        <w:gridCol w:w="3045"/>
        <w:gridCol w:w="1427"/>
        <w:gridCol w:w="1016"/>
      </w:tblGrid>
      <w:tr w:rsidR="001C6AAB" w:rsidRPr="001C6AAB" w:rsidTr="00D17F37">
        <w:trPr>
          <w:trHeight w:val="20"/>
        </w:trPr>
        <w:tc>
          <w:tcPr>
            <w:tcW w:w="254"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 п/п</w:t>
            </w:r>
          </w:p>
        </w:tc>
        <w:tc>
          <w:tcPr>
            <w:tcW w:w="958"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Поселение</w:t>
            </w:r>
          </w:p>
        </w:tc>
        <w:tc>
          <w:tcPr>
            <w:tcW w:w="1081"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Село</w:t>
            </w:r>
          </w:p>
        </w:tc>
        <w:tc>
          <w:tcPr>
            <w:tcW w:w="1502"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Адрес объекта</w:t>
            </w:r>
          </w:p>
        </w:tc>
        <w:tc>
          <w:tcPr>
            <w:tcW w:w="704"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Объём, м3</w:t>
            </w:r>
          </w:p>
        </w:tc>
        <w:tc>
          <w:tcPr>
            <w:tcW w:w="501"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Износ,%</w:t>
            </w:r>
          </w:p>
        </w:tc>
      </w:tr>
      <w:tr w:rsidR="001C6AAB" w:rsidRPr="001C6AAB" w:rsidTr="00D17F37">
        <w:trPr>
          <w:trHeight w:val="20"/>
        </w:trPr>
        <w:tc>
          <w:tcPr>
            <w:tcW w:w="254" w:type="pct"/>
            <w:vMerge w:val="restart"/>
            <w:shd w:val="clear" w:color="auto" w:fill="auto"/>
            <w:noWrap/>
            <w:vAlign w:val="center"/>
            <w:hideMark/>
          </w:tcPr>
          <w:p w:rsidR="001C6AAB" w:rsidRPr="001C6AAB" w:rsidRDefault="001C6AAB" w:rsidP="001C6AAB">
            <w:pPr>
              <w:widowControl w:val="0"/>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1</w:t>
            </w:r>
          </w:p>
        </w:tc>
        <w:tc>
          <w:tcPr>
            <w:tcW w:w="958" w:type="pct"/>
            <w:vMerge w:val="restar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Лучковское поселение</w:t>
            </w:r>
          </w:p>
        </w:tc>
        <w:tc>
          <w:tcPr>
            <w:tcW w:w="1081"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с. Лучки</w:t>
            </w:r>
          </w:p>
        </w:tc>
        <w:tc>
          <w:tcPr>
            <w:tcW w:w="1502"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Власова</w:t>
            </w:r>
          </w:p>
        </w:tc>
        <w:tc>
          <w:tcPr>
            <w:tcW w:w="704" w:type="pct"/>
            <w:shd w:val="clear" w:color="000000" w:fill="FFFFFF"/>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25</w:t>
            </w:r>
          </w:p>
        </w:tc>
        <w:tc>
          <w:tcPr>
            <w:tcW w:w="501" w:type="pct"/>
            <w:shd w:val="clear" w:color="auto" w:fill="auto"/>
            <w:noWrap/>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100,00</w:t>
            </w:r>
          </w:p>
        </w:tc>
      </w:tr>
      <w:tr w:rsidR="001C6AAB" w:rsidRPr="001C6AAB" w:rsidTr="00D17F37">
        <w:trPr>
          <w:trHeight w:val="20"/>
        </w:trPr>
        <w:tc>
          <w:tcPr>
            <w:tcW w:w="254" w:type="pct"/>
            <w:vMerge/>
            <w:shd w:val="clear" w:color="auto" w:fill="auto"/>
            <w:noWrap/>
            <w:vAlign w:val="center"/>
            <w:hideMark/>
          </w:tcPr>
          <w:p w:rsidR="001C6AAB" w:rsidRPr="001C6AAB" w:rsidRDefault="001C6AAB" w:rsidP="001C6AAB">
            <w:pPr>
              <w:widowControl w:val="0"/>
              <w:spacing w:after="0" w:line="240" w:lineRule="auto"/>
              <w:jc w:val="center"/>
              <w:rPr>
                <w:rFonts w:ascii="Times New Roman" w:eastAsia="Calibri" w:hAnsi="Times New Roman" w:cs="Calibri"/>
                <w:sz w:val="18"/>
                <w:szCs w:val="18"/>
              </w:rPr>
            </w:pPr>
          </w:p>
        </w:tc>
        <w:tc>
          <w:tcPr>
            <w:tcW w:w="958" w:type="pct"/>
            <w:vMerge/>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p>
        </w:tc>
        <w:tc>
          <w:tcPr>
            <w:tcW w:w="1081"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с. Лучки</w:t>
            </w:r>
          </w:p>
        </w:tc>
        <w:tc>
          <w:tcPr>
            <w:tcW w:w="1502"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Центральная</w:t>
            </w:r>
          </w:p>
        </w:tc>
        <w:tc>
          <w:tcPr>
            <w:tcW w:w="704" w:type="pct"/>
            <w:shd w:val="clear" w:color="000000" w:fill="FFFFFF"/>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50</w:t>
            </w:r>
          </w:p>
        </w:tc>
        <w:tc>
          <w:tcPr>
            <w:tcW w:w="501" w:type="pct"/>
            <w:shd w:val="clear" w:color="auto" w:fill="auto"/>
            <w:noWrap/>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7E3B72">
        <w:rPr>
          <w:rFonts w:ascii="Times New Roman" w:hAnsi="Times New Roman" w:cs="Times New Roman"/>
          <w:b/>
          <w:bCs/>
          <w:iCs/>
          <w:noProof/>
          <w:sz w:val="24"/>
          <w:szCs w:val="24"/>
        </w:rPr>
        <w:t>Лучковского</w:t>
      </w:r>
      <w:r w:rsidR="008E234C">
        <w:rPr>
          <w:rFonts w:ascii="Times New Roman" w:hAnsi="Times New Roman" w:cs="Times New Roman"/>
          <w:b/>
          <w:bCs/>
          <w:iCs/>
          <w:noProof/>
          <w:sz w:val="24"/>
          <w:szCs w:val="24"/>
        </w:rPr>
        <w:t>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852"/>
        <w:gridCol w:w="1154"/>
        <w:gridCol w:w="1316"/>
        <w:gridCol w:w="2018"/>
        <w:gridCol w:w="1795"/>
        <w:gridCol w:w="1462"/>
      </w:tblGrid>
      <w:tr w:rsidR="001C6AAB" w:rsidRPr="001C6AAB" w:rsidTr="00D17F37">
        <w:trPr>
          <w:trHeight w:val="509"/>
        </w:trPr>
        <w:tc>
          <w:tcPr>
            <w:tcW w:w="288"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1C6AAB">
              <w:rPr>
                <w:rFonts w:ascii="Times New Roman" w:eastAsia="Calibri" w:hAnsi="Times New Roman" w:cs="Times New Roman"/>
                <w:b/>
                <w:sz w:val="18"/>
                <w:szCs w:val="18"/>
                <w:lang w:val="en-US"/>
              </w:rPr>
              <w:t>№ п/п</w:t>
            </w:r>
          </w:p>
        </w:tc>
        <w:tc>
          <w:tcPr>
            <w:tcW w:w="935"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Наименование улицы</w:t>
            </w:r>
          </w:p>
        </w:tc>
        <w:tc>
          <w:tcPr>
            <w:tcW w:w="591"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Диаметр</w:t>
            </w:r>
          </w:p>
        </w:tc>
        <w:tc>
          <w:tcPr>
            <w:tcW w:w="671"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Материал</w:t>
            </w:r>
          </w:p>
        </w:tc>
        <w:tc>
          <w:tcPr>
            <w:tcW w:w="1017"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Протяженность, м</w:t>
            </w:r>
          </w:p>
        </w:tc>
        <w:tc>
          <w:tcPr>
            <w:tcW w:w="907"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Год ввода в эксплуатацию</w:t>
            </w:r>
          </w:p>
        </w:tc>
        <w:tc>
          <w:tcPr>
            <w:tcW w:w="591"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Процентизноса</w:t>
            </w:r>
          </w:p>
        </w:tc>
      </w:tr>
      <w:tr w:rsidR="001C6AAB" w:rsidRPr="001C6AAB" w:rsidTr="00D17F37">
        <w:trPr>
          <w:trHeight w:val="509"/>
        </w:trPr>
        <w:tc>
          <w:tcPr>
            <w:tcW w:w="288"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935"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591"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671"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1017"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907"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591"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r>
      <w:tr w:rsidR="001C6AAB" w:rsidRPr="001C6AAB" w:rsidTr="00D17F37">
        <w:trPr>
          <w:trHeight w:val="308"/>
        </w:trPr>
        <w:tc>
          <w:tcPr>
            <w:tcW w:w="5000" w:type="pct"/>
            <w:gridSpan w:val="7"/>
            <w:shd w:val="clear" w:color="auto" w:fill="auto"/>
            <w:hideMark/>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b/>
                <w:bCs/>
                <w:sz w:val="18"/>
                <w:szCs w:val="18"/>
                <w:lang w:val="en-US"/>
              </w:rPr>
              <w:t>с.Лучки</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1</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Авдеева</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2510</w:t>
            </w:r>
          </w:p>
        </w:tc>
        <w:tc>
          <w:tcPr>
            <w:tcW w:w="907" w:type="pct"/>
            <w:shd w:val="clear" w:color="auto" w:fill="auto"/>
            <w:vAlign w:val="center"/>
          </w:tcPr>
          <w:p w:rsidR="001C6AAB" w:rsidRPr="001C6AAB" w:rsidRDefault="001C6AAB" w:rsidP="001C6AAB">
            <w:pPr>
              <w:spacing w:after="0" w:line="240" w:lineRule="auto"/>
              <w:jc w:val="center"/>
              <w:rPr>
                <w:rFonts w:ascii="Times New Roman" w:eastAsia="Calibri" w:hAnsi="Times New Roman" w:cs="Times New Roman"/>
                <w:color w:val="000000"/>
                <w:sz w:val="18"/>
                <w:szCs w:val="18"/>
                <w:lang w:eastAsia="ru-RU"/>
              </w:rPr>
            </w:pPr>
            <w:r w:rsidRPr="001C6AAB">
              <w:rPr>
                <w:rFonts w:ascii="Times New Roman" w:eastAsia="Calibri" w:hAnsi="Times New Roman" w:cs="Times New Roman"/>
                <w:color w:val="000000"/>
                <w:sz w:val="18"/>
                <w:szCs w:val="18"/>
                <w:lang w:val="en-US"/>
              </w:rPr>
              <w:t>1972</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2</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Власова</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3850</w:t>
            </w:r>
          </w:p>
        </w:tc>
        <w:tc>
          <w:tcPr>
            <w:tcW w:w="90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lang w:val="en-US"/>
              </w:rPr>
            </w:pPr>
            <w:r w:rsidRPr="001C6AAB">
              <w:rPr>
                <w:rFonts w:ascii="Times New Roman" w:eastAsia="Calibri" w:hAnsi="Times New Roman" w:cs="Times New Roman"/>
                <w:color w:val="000000"/>
                <w:sz w:val="18"/>
                <w:szCs w:val="18"/>
                <w:lang w:val="en-US"/>
              </w:rPr>
              <w:t>1974</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3</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Крещенская</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1804</w:t>
            </w:r>
          </w:p>
        </w:tc>
        <w:tc>
          <w:tcPr>
            <w:tcW w:w="90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lang w:val="en-US"/>
              </w:rPr>
            </w:pPr>
            <w:r w:rsidRPr="001C6AAB">
              <w:rPr>
                <w:rFonts w:ascii="Times New Roman" w:eastAsia="Calibri" w:hAnsi="Times New Roman" w:cs="Times New Roman"/>
                <w:color w:val="000000"/>
                <w:sz w:val="18"/>
                <w:szCs w:val="18"/>
                <w:lang w:val="en-US"/>
              </w:rPr>
              <w:t>1970</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4</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Центральная</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2686</w:t>
            </w:r>
          </w:p>
        </w:tc>
        <w:tc>
          <w:tcPr>
            <w:tcW w:w="90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lang w:val="en-US"/>
              </w:rPr>
            </w:pPr>
            <w:r w:rsidRPr="001C6AAB">
              <w:rPr>
                <w:rFonts w:ascii="Times New Roman" w:eastAsia="Calibri" w:hAnsi="Times New Roman" w:cs="Times New Roman"/>
                <w:color w:val="000000"/>
                <w:sz w:val="18"/>
                <w:szCs w:val="18"/>
                <w:lang w:val="en-US"/>
              </w:rPr>
              <w:t>1970</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5</w:t>
            </w:r>
          </w:p>
        </w:tc>
        <w:tc>
          <w:tcPr>
            <w:tcW w:w="935" w:type="pct"/>
            <w:shd w:val="clear" w:color="auto" w:fill="auto"/>
          </w:tcPr>
          <w:p w:rsidR="001C6AAB" w:rsidRPr="001C6AAB" w:rsidRDefault="001C6AAB" w:rsidP="001C6AAB">
            <w:pPr>
              <w:widowControl w:val="0"/>
              <w:spacing w:after="0" w:line="240" w:lineRule="auto"/>
              <w:jc w:val="right"/>
              <w:rPr>
                <w:rFonts w:ascii="Times New Roman" w:eastAsia="Calibri" w:hAnsi="Times New Roman" w:cs="Times New Roman"/>
                <w:b/>
                <w:sz w:val="18"/>
                <w:szCs w:val="18"/>
              </w:rPr>
            </w:pPr>
            <w:r w:rsidRPr="001C6AAB">
              <w:rPr>
                <w:rFonts w:ascii="Times New Roman" w:eastAsia="Calibri" w:hAnsi="Times New Roman" w:cs="Times New Roman"/>
                <w:b/>
                <w:sz w:val="18"/>
                <w:szCs w:val="18"/>
              </w:rPr>
              <w:t>ИТОГО</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
        </w:tc>
        <w:tc>
          <w:tcPr>
            <w:tcW w:w="1017"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r w:rsidRPr="001C6AAB">
              <w:rPr>
                <w:rFonts w:ascii="Times New Roman" w:eastAsia="Calibri" w:hAnsi="Times New Roman" w:cs="Times New Roman"/>
                <w:b/>
                <w:sz w:val="18"/>
                <w:szCs w:val="18"/>
              </w:rPr>
              <w:t>10850</w:t>
            </w:r>
          </w:p>
        </w:tc>
        <w:tc>
          <w:tcPr>
            <w:tcW w:w="907"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r w:rsidRPr="001C6AAB">
              <w:rPr>
                <w:rFonts w:ascii="Times New Roman" w:eastAsia="Calibri" w:hAnsi="Times New Roman" w:cs="Times New Roman"/>
                <w:b/>
                <w:sz w:val="18"/>
                <w:szCs w:val="18"/>
              </w:rPr>
              <w:t>100</w:t>
            </w:r>
          </w:p>
        </w:tc>
      </w:tr>
    </w:tbl>
    <w:p w:rsidR="00E049EB" w:rsidRPr="00E049EB" w:rsidRDefault="00E049EB" w:rsidP="00E049EB">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049EB">
        <w:rPr>
          <w:rFonts w:ascii="Times New Roman" w:eastAsia="Calibri" w:hAnsi="Times New Roman" w:cs="Times New Roman"/>
          <w:sz w:val="24"/>
          <w:szCs w:val="24"/>
        </w:rPr>
        <w:t>Общая протяжённость сетей водоснабжения Лучковского сельс</w:t>
      </w:r>
      <w:r w:rsidR="00AA1862">
        <w:rPr>
          <w:rFonts w:ascii="Times New Roman" w:eastAsia="Calibri" w:hAnsi="Times New Roman" w:cs="Times New Roman"/>
          <w:sz w:val="24"/>
          <w:szCs w:val="24"/>
        </w:rPr>
        <w:t>кого поселения по состоянию на 2 квартал 2023</w:t>
      </w:r>
      <w:r w:rsidRPr="00E049EB">
        <w:rPr>
          <w:rFonts w:ascii="Times New Roman" w:eastAsia="Calibri" w:hAnsi="Times New Roman" w:cs="Times New Roman"/>
          <w:sz w:val="24"/>
          <w:szCs w:val="24"/>
        </w:rPr>
        <w:t xml:space="preserve"> года составляет 10,85 км, в том числе асбестоцементных – 10,85 км (100%).</w:t>
      </w:r>
    </w:p>
    <w:p w:rsidR="00E049EB" w:rsidRPr="00E049EB" w:rsidRDefault="00E049EB" w:rsidP="00E049EB">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049EB">
        <w:rPr>
          <w:rFonts w:ascii="Times New Roman" w:eastAsia="Calibri" w:hAnsi="Times New Roman" w:cs="Times New Roman"/>
          <w:sz w:val="24"/>
          <w:szCs w:val="24"/>
        </w:rPr>
        <w:t xml:space="preserve">Диаметры разводящих сетей 100 мм. </w:t>
      </w:r>
    </w:p>
    <w:p w:rsidR="00E049EB" w:rsidRPr="00E049EB" w:rsidRDefault="00E049EB" w:rsidP="00E049EB">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049EB">
        <w:rPr>
          <w:rFonts w:ascii="Times New Roman" w:eastAsia="Calibri" w:hAnsi="Times New Roman" w:cs="Times New Roman"/>
          <w:sz w:val="24"/>
          <w:szCs w:val="24"/>
        </w:rPr>
        <w:t>Протяженность сетей со 100% износом –10,85 км</w:t>
      </w:r>
    </w:p>
    <w:p w:rsidR="00E049EB" w:rsidRPr="00E049EB" w:rsidRDefault="00E049EB" w:rsidP="00E049EB">
      <w:pPr>
        <w:widowControl w:val="0"/>
        <w:spacing w:after="0" w:line="240" w:lineRule="auto"/>
        <w:ind w:firstLine="708"/>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eastAsia="ar-SA"/>
        </w:rPr>
        <w:t>К</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lang w:eastAsia="ar-SA"/>
        </w:rPr>
        <w:t xml:space="preserve"> = (</w:t>
      </w:r>
      <w:r w:rsidRPr="00E049EB">
        <w:rPr>
          <w:rFonts w:ascii="Times New Roman" w:eastAsia="Calibri" w:hAnsi="Times New Roman" w:cs="Times New Roman"/>
          <w:sz w:val="24"/>
          <w:szCs w:val="24"/>
          <w:lang w:val="en-US" w:eastAsia="ar-SA"/>
        </w:rPr>
        <w:t>S</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r w:rsidRPr="00E049EB">
        <w:rPr>
          <w:rFonts w:ascii="Times New Roman" w:eastAsia="Calibri" w:hAnsi="Times New Roman" w:cs="Times New Roman"/>
          <w:sz w:val="24"/>
          <w:szCs w:val="24"/>
          <w:lang w:eastAsia="ar-SA"/>
        </w:rPr>
        <w:t xml:space="preserve"> - </w:t>
      </w:r>
      <w:r w:rsidRPr="00E049EB">
        <w:rPr>
          <w:rFonts w:ascii="Times New Roman" w:eastAsia="Calibri" w:hAnsi="Times New Roman" w:cs="Times New Roman"/>
          <w:sz w:val="24"/>
          <w:szCs w:val="24"/>
          <w:lang w:val="en-US" w:eastAsia="ar-SA"/>
        </w:rPr>
        <w:t>S</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ветх</w:t>
      </w:r>
      <w:r w:rsidRPr="00E049EB">
        <w:rPr>
          <w:rFonts w:ascii="Times New Roman" w:eastAsia="Calibri" w:hAnsi="Times New Roman" w:cs="Times New Roman"/>
          <w:sz w:val="24"/>
          <w:szCs w:val="24"/>
          <w:lang w:eastAsia="ar-SA"/>
        </w:rPr>
        <w:t xml:space="preserve">) / </w:t>
      </w:r>
      <w:r w:rsidRPr="00E049EB">
        <w:rPr>
          <w:rFonts w:ascii="Times New Roman" w:eastAsia="Calibri" w:hAnsi="Times New Roman" w:cs="Times New Roman"/>
          <w:sz w:val="24"/>
          <w:szCs w:val="24"/>
          <w:lang w:val="en-US" w:eastAsia="ar-SA"/>
        </w:rPr>
        <w:t>S</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r w:rsidRPr="00E049EB">
        <w:rPr>
          <w:rFonts w:ascii="Times New Roman" w:eastAsia="Calibri" w:hAnsi="Times New Roman" w:cs="Times New Roman"/>
          <w:sz w:val="24"/>
          <w:szCs w:val="24"/>
          <w:lang w:eastAsia="ar-SA"/>
        </w:rPr>
        <w:t>, где</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r w:rsidRPr="00E049EB">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ветх</w:t>
      </w:r>
      <w:r w:rsidRPr="00E049EB">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r w:rsidRPr="00E049EB">
        <w:rPr>
          <w:rFonts w:ascii="Times New Roman" w:eastAsia="Calibri" w:hAnsi="Times New Roman" w:cs="Times New Roman"/>
          <w:sz w:val="24"/>
          <w:szCs w:val="24"/>
          <w:lang w:eastAsia="ar-SA"/>
        </w:rPr>
        <w:t xml:space="preserve"> = 10,85 км;</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ветх</w:t>
      </w:r>
      <w:r w:rsidRPr="00E049EB">
        <w:rPr>
          <w:rFonts w:ascii="Times New Roman" w:eastAsia="Calibri" w:hAnsi="Times New Roman" w:cs="Times New Roman"/>
          <w:sz w:val="24"/>
          <w:szCs w:val="24"/>
          <w:lang w:eastAsia="ar-SA"/>
        </w:rPr>
        <w:t>= 10,85 км.</w:t>
      </w:r>
    </w:p>
    <w:p w:rsidR="00E049EB" w:rsidRPr="00E049EB" w:rsidRDefault="00E049EB" w:rsidP="00E049EB">
      <w:pPr>
        <w:spacing w:after="0" w:line="240" w:lineRule="auto"/>
        <w:ind w:firstLine="567"/>
        <w:jc w:val="both"/>
        <w:rPr>
          <w:rFonts w:ascii="Times New Roman" w:eastAsia="Times New Roman" w:hAnsi="Times New Roman" w:cs="Times New Roman"/>
          <w:sz w:val="24"/>
          <w:szCs w:val="24"/>
          <w:lang w:eastAsia="ar-SA"/>
        </w:rPr>
      </w:pPr>
      <w:r w:rsidRPr="00E049EB">
        <w:rPr>
          <w:rFonts w:ascii="Times New Roman" w:eastAsia="Times New Roman" w:hAnsi="Times New Roman" w:cs="Times New Roman"/>
          <w:sz w:val="24"/>
          <w:szCs w:val="24"/>
          <w:lang w:eastAsia="ar-SA"/>
        </w:rPr>
        <w:t>К</w:t>
      </w:r>
      <w:r w:rsidRPr="00E049EB">
        <w:rPr>
          <w:rFonts w:ascii="Times New Roman" w:eastAsia="Times New Roman" w:hAnsi="Times New Roman" w:cs="Times New Roman"/>
          <w:sz w:val="24"/>
          <w:szCs w:val="24"/>
          <w:vertAlign w:val="subscript"/>
          <w:lang w:eastAsia="ar-SA"/>
        </w:rPr>
        <w:t>с</w:t>
      </w:r>
      <w:r w:rsidRPr="00E049EB">
        <w:rPr>
          <w:rFonts w:ascii="Times New Roman" w:eastAsia="Times New Roman" w:hAnsi="Times New Roman" w:cs="Times New Roman"/>
          <w:sz w:val="24"/>
          <w:szCs w:val="24"/>
          <w:lang w:eastAsia="ar-SA"/>
        </w:rPr>
        <w:t xml:space="preserve"> = (10,85-10,85) /10,85 = 0</w:t>
      </w:r>
    </w:p>
    <w:p w:rsidR="00E049EB" w:rsidRPr="00E049EB" w:rsidRDefault="00E049EB" w:rsidP="00E049EB">
      <w:pPr>
        <w:spacing w:after="0" w:line="240" w:lineRule="auto"/>
        <w:ind w:firstLine="567"/>
        <w:jc w:val="both"/>
        <w:rPr>
          <w:rFonts w:ascii="Times New Roman" w:eastAsia="Times New Roman" w:hAnsi="Times New Roman" w:cs="Times New Roman"/>
          <w:sz w:val="24"/>
          <w:szCs w:val="24"/>
          <w:lang w:eastAsia="ar-SA"/>
        </w:rPr>
      </w:pPr>
      <w:r w:rsidRPr="00E049EB">
        <w:rPr>
          <w:rFonts w:ascii="Times New Roman" w:eastAsia="Times New Roman" w:hAnsi="Times New Roman" w:cs="Times New Roman"/>
          <w:sz w:val="24"/>
          <w:szCs w:val="24"/>
          <w:lang w:eastAsia="ar-SA"/>
        </w:rPr>
        <w:t xml:space="preserve">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w:t>
      </w:r>
      <w:r w:rsidRPr="00E049EB">
        <w:rPr>
          <w:rFonts w:ascii="Times New Roman" w:eastAsia="Times New Roman" w:hAnsi="Times New Roman" w:cs="Times New Roman"/>
          <w:sz w:val="24"/>
          <w:szCs w:val="24"/>
          <w:lang w:eastAsia="ar-SA"/>
        </w:rPr>
        <w:lastRenderedPageBreak/>
        <w:t>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Существующая система водоотведения Лучковского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57365D" w:rsidRPr="0057365D" w:rsidRDefault="0057365D" w:rsidP="0057365D">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57365D">
        <w:rPr>
          <w:rFonts w:ascii="Times New Roman" w:eastAsia="Calibri" w:hAnsi="Times New Roman" w:cs="Times New Roman"/>
          <w:sz w:val="24"/>
          <w:szCs w:val="24"/>
        </w:rPr>
        <w:t>Газоснабжение населения Лучковского сельского поселения осуществляется природным газом и составляет 90,5%. Жилищный фонд отапливается индивидуальными источниками отопления: газовыми печами и котлами. Отоплением социальных объектов (СОШ, дошкольная группа, ФАП, сельский дом культуры) и административных объектов осуществляется от индивидуальных котельных. Теплоэнергетическое хозяйство сельского поселения включает в себя  1 газовую котельную, работающих на природном газе мощностью до 3 Гкал/ч. Тепловая  сеть обслуживает Лучковскую СОШ протяженность 2500 м.</w:t>
      </w:r>
    </w:p>
    <w:p w:rsidR="0057365D" w:rsidRPr="0057365D" w:rsidRDefault="0057365D" w:rsidP="0057365D">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ОАО «Белгородоблгаз»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57365D" w:rsidRPr="0057365D" w:rsidRDefault="0057365D" w:rsidP="00641AC5">
      <w:pPr>
        <w:widowControl w:val="0"/>
        <w:tabs>
          <w:tab w:val="left" w:pos="9045"/>
        </w:tabs>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 xml:space="preserve">Характеристика системы газоснабжения Лучковского сельского поселения </w:t>
      </w:r>
      <w:r w:rsidR="00641AC5">
        <w:rPr>
          <w:rFonts w:ascii="Times New Roman" w:eastAsia="Calibri" w:hAnsi="Times New Roman" w:cs="Times New Roman"/>
          <w:sz w:val="24"/>
          <w:szCs w:val="24"/>
        </w:rPr>
        <w:tab/>
      </w:r>
    </w:p>
    <w:p w:rsidR="0057365D" w:rsidRPr="0057365D" w:rsidRDefault="0057365D" w:rsidP="00641AC5">
      <w:pPr>
        <w:widowControl w:val="0"/>
        <w:tabs>
          <w:tab w:val="left" w:pos="9045"/>
        </w:tabs>
        <w:spacing w:after="0" w:line="275" w:lineRule="auto"/>
        <w:ind w:firstLine="709"/>
        <w:jc w:val="right"/>
        <w:rPr>
          <w:rFonts w:ascii="Times New Roman" w:eastAsia="Calibri" w:hAnsi="Times New Roman" w:cs="Times New Roman"/>
          <w:sz w:val="24"/>
          <w:szCs w:val="24"/>
        </w:rPr>
      </w:pPr>
      <w:r w:rsidRPr="0057365D">
        <w:rPr>
          <w:rFonts w:ascii="Times New Roman" w:eastAsia="Calibri" w:hAnsi="Times New Roman" w:cs="Times New Roman"/>
          <w:sz w:val="24"/>
          <w:szCs w:val="24"/>
        </w:rPr>
        <w:t xml:space="preserve">Таблица </w:t>
      </w:r>
      <w:r w:rsidRPr="00641AC5">
        <w:rPr>
          <w:rFonts w:ascii="Times New Roman" w:eastAsia="Calibri" w:hAnsi="Times New Roman" w:cs="Times New Roman"/>
          <w:sz w:val="24"/>
          <w:szCs w:val="24"/>
        </w:rPr>
        <w:t>8</w:t>
      </w:r>
      <w:r w:rsidRPr="0057365D">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57365D" w:rsidRPr="0057365D" w:rsidTr="00D17F37">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28"/>
                <w:szCs w:val="28"/>
                <w:lang w:eastAsia="ru-RU"/>
              </w:rPr>
              <w:t>.</w:t>
            </w:r>
            <w:r w:rsidRPr="0057365D">
              <w:rPr>
                <w:rFonts w:ascii="Times New Roman" w:eastAsia="Times New Roman" w:hAnsi="Times New Roman" w:cs="Times New Roman"/>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ind w:left="-108" w:right="-198"/>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Ед.</w:t>
            </w:r>
          </w:p>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 xml:space="preserve">Всего </w:t>
            </w:r>
          </w:p>
        </w:tc>
      </w:tr>
      <w:tr w:rsidR="0057365D" w:rsidRPr="0057365D" w:rsidTr="00D17F37">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Система газоснабжения природным газом</w:t>
            </w:r>
          </w:p>
        </w:tc>
      </w:tr>
      <w:tr w:rsidR="0057365D" w:rsidRPr="0057365D" w:rsidTr="00D17F37">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35</w:t>
            </w:r>
          </w:p>
        </w:tc>
      </w:tr>
      <w:tr w:rsidR="0057365D" w:rsidRPr="0057365D" w:rsidTr="00641AC5">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w:t>
            </w:r>
          </w:p>
        </w:tc>
      </w:tr>
      <w:tr w:rsidR="0057365D" w:rsidRPr="0057365D" w:rsidTr="00D17F37">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35</w:t>
            </w:r>
          </w:p>
        </w:tc>
      </w:tr>
      <w:tr w:rsidR="0057365D" w:rsidRPr="0057365D" w:rsidTr="00D17F37">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0,0</w:t>
            </w:r>
          </w:p>
        </w:tc>
      </w:tr>
      <w:tr w:rsidR="0057365D" w:rsidRPr="0057365D" w:rsidTr="00D17F37">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0/17</w:t>
            </w:r>
          </w:p>
        </w:tc>
      </w:tr>
    </w:tbl>
    <w:p w:rsidR="0057365D" w:rsidRPr="0057365D" w:rsidRDefault="00641AC5" w:rsidP="00641AC5">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w:t>
      </w:r>
      <w:r w:rsidR="0057365D" w:rsidRPr="0057365D">
        <w:rPr>
          <w:rFonts w:ascii="Times New Roman" w:eastAsia="Calibri" w:hAnsi="Times New Roman" w:cs="Times New Roman"/>
          <w:sz w:val="24"/>
          <w:szCs w:val="24"/>
        </w:rPr>
        <w:t xml:space="preserve"> сельского поселения, можно выделить следующие основные задачи:</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подключение к</w:t>
      </w:r>
      <w:r w:rsidR="00641AC5">
        <w:rPr>
          <w:rFonts w:ascii="Times New Roman" w:eastAsia="Calibri" w:hAnsi="Times New Roman" w:cs="Times New Roman"/>
          <w:sz w:val="24"/>
          <w:szCs w:val="24"/>
        </w:rPr>
        <w:t xml:space="preserve"> газораспределительной системе </w:t>
      </w:r>
      <w:r w:rsidRPr="0057365D">
        <w:rPr>
          <w:rFonts w:ascii="Times New Roman" w:eastAsia="Calibri" w:hAnsi="Times New Roman" w:cs="Times New Roman"/>
          <w:sz w:val="24"/>
          <w:szCs w:val="24"/>
        </w:rPr>
        <w:t>объектов нового строительства;</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обеспечение надежности газоснабжения потребителей;</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своевременная перекладка газовых сетей и замена оборудования;</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w:t>
      </w:r>
      <w:r w:rsidR="00641AC5">
        <w:rPr>
          <w:rFonts w:ascii="Times New Roman" w:eastAsia="Calibri" w:hAnsi="Times New Roman" w:cs="Times New Roman"/>
          <w:sz w:val="24"/>
          <w:szCs w:val="24"/>
        </w:rPr>
        <w:t xml:space="preserve">дключении домовладений </w:t>
      </w:r>
      <w:r w:rsidRPr="0057365D">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xml:space="preserve">Контролем над подачей электроэнергии в </w:t>
      </w:r>
      <w:r w:rsidR="007E3B72">
        <w:rPr>
          <w:rFonts w:ascii="Times New Roman" w:hAnsi="Times New Roman" w:cs="Times New Roman"/>
          <w:sz w:val="24"/>
          <w:szCs w:val="24"/>
        </w:rPr>
        <w:t>Лучковского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7E3B72">
        <w:rPr>
          <w:rFonts w:ascii="Times New Roman" w:hAnsi="Times New Roman" w:cs="Times New Roman"/>
          <w:sz w:val="24"/>
          <w:szCs w:val="24"/>
        </w:rPr>
        <w:t>Лучковского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7E3B72">
        <w:rPr>
          <w:rFonts w:ascii="Times New Roman" w:hAnsi="Times New Roman" w:cs="Times New Roman"/>
          <w:sz w:val="24"/>
          <w:szCs w:val="24"/>
        </w:rPr>
        <w:t>Лучковского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7E3B72">
        <w:rPr>
          <w:rFonts w:ascii="Times New Roman" w:hAnsi="Times New Roman" w:cs="Times New Roman"/>
          <w:sz w:val="24"/>
          <w:szCs w:val="24"/>
        </w:rPr>
        <w:t>Лучковского</w:t>
      </w:r>
      <w:r w:rsidRPr="00CF4ABE">
        <w:rPr>
          <w:rFonts w:ascii="Times New Roman" w:hAnsi="Times New Roman" w:cs="Times New Roman"/>
          <w:sz w:val="24"/>
          <w:szCs w:val="24"/>
        </w:rPr>
        <w:t>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C700D4">
        <w:rPr>
          <w:rFonts w:ascii="Times New Roman" w:hAnsi="Times New Roman" w:cs="Times New Roman"/>
          <w:sz w:val="24"/>
          <w:szCs w:val="24"/>
        </w:rPr>
        <w:t>Лучковском</w:t>
      </w:r>
      <w:r w:rsidRPr="00CF4ABE">
        <w:rPr>
          <w:rFonts w:ascii="Times New Roman" w:hAnsi="Times New Roman" w:cs="Times New Roman"/>
          <w:sz w:val="24"/>
          <w:szCs w:val="24"/>
        </w:rPr>
        <w:t xml:space="preserve">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C700D4">
        <w:rPr>
          <w:rFonts w:ascii="Times New Roman" w:hAnsi="Times New Roman" w:cs="Times New Roman"/>
          <w:sz w:val="24"/>
          <w:szCs w:val="24"/>
        </w:rPr>
        <w:t>Лучковском</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211195">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211195">
        <w:rPr>
          <w:rFonts w:ascii="Times New Roman" w:hAnsi="Times New Roman" w:cs="Times New Roman"/>
          <w:sz w:val="24"/>
          <w:szCs w:val="24"/>
        </w:rPr>
        <w:t>четверг</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w:t>
      </w:r>
      <w:r w:rsidRPr="00CF4ABE">
        <w:rPr>
          <w:rFonts w:ascii="Times New Roman" w:hAnsi="Times New Roman" w:cs="Times New Roman"/>
          <w:sz w:val="24"/>
          <w:szCs w:val="24"/>
        </w:rPr>
        <w:lastRenderedPageBreak/>
        <w:t>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7E3B72">
        <w:rPr>
          <w:rFonts w:ascii="Times New Roman" w:hAnsi="Times New Roman" w:cs="Times New Roman"/>
          <w:sz w:val="24"/>
          <w:szCs w:val="24"/>
        </w:rPr>
        <w:t>Лучковского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7E3B72">
        <w:rPr>
          <w:rFonts w:ascii="Times New Roman" w:hAnsi="Times New Roman" w:cs="Times New Roman"/>
          <w:sz w:val="24"/>
          <w:szCs w:val="24"/>
        </w:rPr>
        <w:t>Лучковского</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641AC5">
        <w:rPr>
          <w:rFonts w:ascii="Times New Roman" w:hAnsi="Times New Roman" w:cs="Times New Roman"/>
          <w:sz w:val="24"/>
          <w:szCs w:val="24"/>
        </w:rPr>
        <w:t>16</w:t>
      </w:r>
      <w:r w:rsidRPr="00E82742">
        <w:rPr>
          <w:rFonts w:ascii="Times New Roman" w:hAnsi="Times New Roman" w:cs="Times New Roman"/>
          <w:sz w:val="24"/>
          <w:szCs w:val="24"/>
        </w:rPr>
        <w:t>-20</w:t>
      </w:r>
      <w:r w:rsidR="00641AC5">
        <w:rPr>
          <w:rFonts w:ascii="Times New Roman" w:hAnsi="Times New Roman" w:cs="Times New Roman"/>
          <w:sz w:val="24"/>
          <w:szCs w:val="24"/>
        </w:rPr>
        <w:t>26</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7E3B72">
        <w:rPr>
          <w:rFonts w:ascii="Times New Roman" w:eastAsia="Times New Roman" w:hAnsi="Times New Roman" w:cs="Times New Roman"/>
          <w:b/>
          <w:sz w:val="24"/>
          <w:szCs w:val="24"/>
          <w:lang w:eastAsia="zh-CN"/>
        </w:rPr>
        <w:t>Лучковского</w:t>
      </w:r>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1916"/>
        <w:gridCol w:w="3191"/>
        <w:gridCol w:w="1185"/>
        <w:gridCol w:w="1185"/>
        <w:gridCol w:w="1185"/>
        <w:gridCol w:w="1188"/>
        <w:gridCol w:w="1185"/>
        <w:gridCol w:w="1185"/>
        <w:gridCol w:w="1185"/>
        <w:gridCol w:w="1185"/>
      </w:tblGrid>
      <w:tr w:rsidR="000F26E2" w:rsidRPr="00641AC5" w:rsidTr="000F26E2">
        <w:trPr>
          <w:trHeight w:val="20"/>
          <w:tblHeader/>
          <w:jc w:val="center"/>
        </w:trPr>
        <w:tc>
          <w:tcPr>
            <w:tcW w:w="657" w:type="pct"/>
            <w:vMerge w:val="restar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b/>
                <w:color w:val="000000"/>
                <w:sz w:val="20"/>
                <w:szCs w:val="20"/>
                <w:lang w:eastAsia="ru-RU"/>
              </w:rPr>
              <w:t>Источник</w:t>
            </w:r>
          </w:p>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b/>
                <w:color w:val="000000"/>
                <w:sz w:val="20"/>
                <w:szCs w:val="20"/>
                <w:lang w:eastAsia="ru-RU"/>
              </w:rPr>
              <w:t>теплоснабжения</w:t>
            </w:r>
          </w:p>
        </w:tc>
        <w:tc>
          <w:tcPr>
            <w:tcW w:w="1094" w:type="pct"/>
            <w:vMerge w:val="restar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b/>
                <w:color w:val="000000"/>
                <w:sz w:val="20"/>
                <w:szCs w:val="20"/>
                <w:lang w:eastAsia="ru-RU"/>
              </w:rPr>
              <w:t>Показатель</w:t>
            </w:r>
          </w:p>
        </w:tc>
        <w:tc>
          <w:tcPr>
            <w:tcW w:w="812" w:type="pct"/>
            <w:gridSpan w:val="2"/>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b/>
                <w:szCs w:val="24"/>
                <w:lang w:eastAsia="zh-CN"/>
              </w:rPr>
            </w:pPr>
            <w:r>
              <w:rPr>
                <w:rFonts w:ascii="Times New Roman" w:eastAsia="Times New Roman" w:hAnsi="Times New Roman" w:cs="Times New Roman"/>
                <w:b/>
                <w:szCs w:val="24"/>
                <w:lang w:eastAsia="zh-CN"/>
              </w:rPr>
              <w:t>2022</w:t>
            </w:r>
          </w:p>
        </w:tc>
        <w:tc>
          <w:tcPr>
            <w:tcW w:w="813" w:type="pct"/>
            <w:gridSpan w:val="2"/>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b/>
                <w:szCs w:val="24"/>
                <w:lang w:eastAsia="zh-CN"/>
              </w:rPr>
            </w:pPr>
            <w:r>
              <w:rPr>
                <w:rFonts w:ascii="Times New Roman" w:eastAsia="Times New Roman" w:hAnsi="Times New Roman" w:cs="Times New Roman"/>
                <w:b/>
                <w:szCs w:val="24"/>
                <w:lang w:eastAsia="zh-CN"/>
              </w:rPr>
              <w:t>2023</w:t>
            </w:r>
          </w:p>
        </w:tc>
        <w:tc>
          <w:tcPr>
            <w:tcW w:w="812" w:type="pct"/>
            <w:gridSpan w:val="2"/>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b/>
                <w:szCs w:val="24"/>
                <w:lang w:eastAsia="zh-CN"/>
              </w:rPr>
            </w:pPr>
            <w:r>
              <w:rPr>
                <w:rFonts w:ascii="Times New Roman" w:eastAsia="Times New Roman" w:hAnsi="Times New Roman" w:cs="Times New Roman"/>
                <w:b/>
                <w:szCs w:val="24"/>
                <w:lang w:eastAsia="zh-CN"/>
              </w:rPr>
              <w:t>2024-2026</w:t>
            </w:r>
          </w:p>
        </w:tc>
        <w:tc>
          <w:tcPr>
            <w:tcW w:w="812" w:type="pct"/>
            <w:gridSpan w:val="2"/>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b/>
                <w:szCs w:val="24"/>
                <w:lang w:eastAsia="zh-CN"/>
              </w:rPr>
            </w:pPr>
            <w:r>
              <w:rPr>
                <w:rFonts w:ascii="Times New Roman" w:eastAsia="Times New Roman" w:hAnsi="Times New Roman" w:cs="Times New Roman"/>
                <w:b/>
                <w:szCs w:val="24"/>
                <w:lang w:eastAsia="zh-CN"/>
              </w:rPr>
              <w:t>2027-2032</w:t>
            </w:r>
          </w:p>
        </w:tc>
      </w:tr>
      <w:tr w:rsidR="000F26E2" w:rsidRPr="00641AC5" w:rsidTr="000F26E2">
        <w:trPr>
          <w:trHeight w:val="20"/>
          <w:tblHeader/>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b/>
                <w:sz w:val="20"/>
                <w:szCs w:val="20"/>
                <w:lang w:eastAsia="zh-CN"/>
              </w:rPr>
            </w:pPr>
          </w:p>
        </w:tc>
        <w:tc>
          <w:tcPr>
            <w:tcW w:w="1094"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b/>
                <w:sz w:val="20"/>
                <w:szCs w:val="20"/>
                <w:lang w:eastAsia="zh-CN"/>
              </w:rPr>
            </w:pPr>
          </w:p>
        </w:tc>
        <w:tc>
          <w:tcPr>
            <w:tcW w:w="406"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Отопление</w:t>
            </w:r>
          </w:p>
        </w:tc>
        <w:tc>
          <w:tcPr>
            <w:tcW w:w="406"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ГВС</w:t>
            </w:r>
          </w:p>
        </w:tc>
        <w:tc>
          <w:tcPr>
            <w:tcW w:w="406"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Отопление</w:t>
            </w:r>
          </w:p>
        </w:tc>
        <w:tc>
          <w:tcPr>
            <w:tcW w:w="407"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ГВС</w:t>
            </w:r>
          </w:p>
        </w:tc>
        <w:tc>
          <w:tcPr>
            <w:tcW w:w="406"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Отопление</w:t>
            </w:r>
          </w:p>
        </w:tc>
        <w:tc>
          <w:tcPr>
            <w:tcW w:w="406"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ГВС</w:t>
            </w:r>
          </w:p>
        </w:tc>
        <w:tc>
          <w:tcPr>
            <w:tcW w:w="406"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Отопление</w:t>
            </w:r>
          </w:p>
        </w:tc>
        <w:tc>
          <w:tcPr>
            <w:tcW w:w="406"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ГВС</w:t>
            </w:r>
          </w:p>
        </w:tc>
      </w:tr>
      <w:tr w:rsidR="000F26E2" w:rsidRPr="00641AC5" w:rsidTr="000F26E2">
        <w:trPr>
          <w:trHeight w:val="20"/>
          <w:jc w:val="center"/>
        </w:trPr>
        <w:tc>
          <w:tcPr>
            <w:tcW w:w="657" w:type="pct"/>
            <w:vMerge w:val="restar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Котельная с. Лучки</w:t>
            </w: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Отпуск тепла внешним потребителям, Гкал/час</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0,21</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0,21</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0,21</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0,21</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Расход топлива, м3/Гкал</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0,144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0,144</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0,144</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0,144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КПД, %</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42,4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42,4</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42,4</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42,4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Затраты тепла на собственные нужды, Гкал/час</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0,002</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0,002</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0,002</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0,002</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Установленная мощность котельной, Гкал/час</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Общая располагаемая мощность котельной, Гкал/час</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0,34</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Потери в тепловых сетях, Гкал/час</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0,005</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0,005</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0,005</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0,005</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Мощность нетто, Гкал/час</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bCs/>
                <w:color w:val="000000"/>
                <w:sz w:val="18"/>
                <w:szCs w:val="18"/>
                <w:lang w:eastAsia="ru-RU"/>
              </w:rPr>
            </w:pPr>
            <w:r w:rsidRPr="000F26E2">
              <w:rPr>
                <w:rFonts w:ascii="Times New Roman" w:hAnsi="Times New Roman" w:cs="Times New Roman"/>
                <w:bCs/>
                <w:color w:val="000000"/>
                <w:sz w:val="18"/>
                <w:szCs w:val="18"/>
                <w:lang w:eastAsia="ru-RU"/>
              </w:rPr>
              <w:t>0,338</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bCs/>
                <w:color w:val="000000"/>
                <w:sz w:val="18"/>
                <w:szCs w:val="18"/>
                <w:lang w:eastAsia="ru-RU"/>
              </w:rPr>
            </w:pPr>
            <w:r w:rsidRPr="000F26E2">
              <w:rPr>
                <w:rFonts w:ascii="Times New Roman" w:hAnsi="Times New Roman" w:cs="Times New Roman"/>
                <w:bCs/>
                <w:color w:val="000000"/>
                <w:sz w:val="18"/>
                <w:szCs w:val="18"/>
                <w:lang w:eastAsia="ru-RU"/>
              </w:rPr>
              <w:t>0,338</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bCs/>
                <w:color w:val="000000"/>
                <w:sz w:val="18"/>
                <w:szCs w:val="18"/>
                <w:lang w:eastAsia="ru-RU"/>
              </w:rPr>
            </w:pPr>
            <w:r w:rsidRPr="000F26E2">
              <w:rPr>
                <w:rFonts w:ascii="Times New Roman" w:hAnsi="Times New Roman" w:cs="Times New Roman"/>
                <w:bCs/>
                <w:color w:val="000000"/>
                <w:sz w:val="18"/>
                <w:szCs w:val="18"/>
                <w:lang w:eastAsia="ru-RU"/>
              </w:rPr>
              <w:t>0,338</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bCs/>
                <w:color w:val="000000"/>
                <w:sz w:val="18"/>
                <w:szCs w:val="18"/>
                <w:lang w:eastAsia="ru-RU"/>
              </w:rPr>
            </w:pPr>
            <w:r w:rsidRPr="000F26E2">
              <w:rPr>
                <w:rFonts w:ascii="Times New Roman" w:hAnsi="Times New Roman" w:cs="Times New Roman"/>
                <w:bCs/>
                <w:color w:val="000000"/>
                <w:sz w:val="18"/>
                <w:szCs w:val="18"/>
                <w:lang w:eastAsia="ru-RU"/>
              </w:rPr>
              <w:t>0,338</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r w:rsidR="000F26E2" w:rsidRPr="00641AC5" w:rsidTr="000F26E2">
        <w:trPr>
          <w:trHeight w:val="20"/>
          <w:jc w:val="center"/>
        </w:trPr>
        <w:tc>
          <w:tcPr>
            <w:tcW w:w="657" w:type="pct"/>
            <w:vMerge/>
            <w:shd w:val="clear" w:color="auto" w:fill="FFFFFF"/>
            <w:vAlign w:val="center"/>
          </w:tcPr>
          <w:p w:rsidR="000F26E2" w:rsidRPr="00641AC5"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1094" w:type="pct"/>
            <w:shd w:val="clear" w:color="auto" w:fill="FFFFFF"/>
            <w:vAlign w:val="center"/>
          </w:tcPr>
          <w:p w:rsidR="000F26E2" w:rsidRPr="00641AC5" w:rsidRDefault="000F26E2" w:rsidP="000F26E2">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Резерв/дефицит мощности нетто, Гкал/час</w:t>
            </w: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0,123</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0,123</w:t>
            </w:r>
          </w:p>
        </w:tc>
        <w:tc>
          <w:tcPr>
            <w:tcW w:w="407"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0,123</w:t>
            </w:r>
          </w:p>
        </w:tc>
        <w:tc>
          <w:tcPr>
            <w:tcW w:w="406" w:type="pct"/>
            <w:shd w:val="clear" w:color="auto" w:fill="FFFFFF"/>
            <w:vAlign w:val="center"/>
          </w:tcPr>
          <w:p w:rsidR="000F26E2" w:rsidRPr="000F26E2" w:rsidRDefault="000F26E2" w:rsidP="000F26E2">
            <w:pPr>
              <w:widowControl w:val="0"/>
              <w:suppressAutoHyphens/>
              <w:spacing w:after="0" w:line="240" w:lineRule="auto"/>
              <w:jc w:val="center"/>
              <w:rPr>
                <w:rFonts w:ascii="Times New Roman" w:eastAsia="Times New Roman" w:hAnsi="Times New Roman" w:cs="Times New Roman"/>
                <w:color w:val="000000"/>
                <w:sz w:val="18"/>
                <w:szCs w:val="18"/>
                <w:lang w:eastAsia="ru-RU"/>
              </w:rPr>
            </w:pPr>
          </w:p>
        </w:tc>
        <w:tc>
          <w:tcPr>
            <w:tcW w:w="406" w:type="pct"/>
            <w:shd w:val="clear" w:color="auto" w:fill="FFFFFF"/>
            <w:vAlign w:val="center"/>
          </w:tcPr>
          <w:p w:rsidR="000F26E2" w:rsidRPr="000F26E2" w:rsidRDefault="000F26E2" w:rsidP="000F26E2">
            <w:pPr>
              <w:widowControl w:val="0"/>
              <w:spacing w:line="240" w:lineRule="auto"/>
              <w:jc w:val="center"/>
              <w:rPr>
                <w:rFonts w:ascii="Times New Roman" w:hAnsi="Times New Roman" w:cs="Times New Roman"/>
                <w:color w:val="000000"/>
                <w:sz w:val="18"/>
                <w:szCs w:val="18"/>
                <w:lang w:eastAsia="ru-RU"/>
              </w:rPr>
            </w:pPr>
            <w:r w:rsidRPr="000F26E2">
              <w:rPr>
                <w:rFonts w:ascii="Times New Roman" w:hAnsi="Times New Roman" w:cs="Times New Roman"/>
                <w:color w:val="000000"/>
                <w:sz w:val="18"/>
                <w:szCs w:val="18"/>
                <w:lang w:eastAsia="ru-RU"/>
              </w:rPr>
              <w:t>0,123</w:t>
            </w:r>
          </w:p>
        </w:tc>
        <w:tc>
          <w:tcPr>
            <w:tcW w:w="406" w:type="pct"/>
            <w:shd w:val="clear" w:color="auto" w:fill="FFFFFF"/>
            <w:vAlign w:val="center"/>
          </w:tcPr>
          <w:p w:rsidR="000F26E2" w:rsidRPr="000F26E2" w:rsidRDefault="000F26E2" w:rsidP="000F26E2">
            <w:pPr>
              <w:suppressAutoHyphens/>
              <w:spacing w:after="0" w:line="240" w:lineRule="auto"/>
              <w:jc w:val="center"/>
              <w:rPr>
                <w:rFonts w:ascii="Times New Roman" w:eastAsia="Times New Roman" w:hAnsi="Times New Roman" w:cs="Times New Roman"/>
                <w:sz w:val="20"/>
                <w:szCs w:val="20"/>
                <w:lang w:eastAsia="zh-CN"/>
              </w:rPr>
            </w:pPr>
          </w:p>
        </w:tc>
      </w:tr>
    </w:tbl>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73"/>
        <w:gridCol w:w="4227"/>
        <w:gridCol w:w="1033"/>
        <w:gridCol w:w="964"/>
        <w:gridCol w:w="1119"/>
        <w:gridCol w:w="910"/>
        <w:gridCol w:w="1111"/>
      </w:tblGrid>
      <w:tr w:rsidR="00304D46" w:rsidRPr="00304D46" w:rsidTr="009244A4">
        <w:trPr>
          <w:trHeight w:hRule="exact" w:val="294"/>
          <w:jc w:val="center"/>
        </w:trPr>
        <w:tc>
          <w:tcPr>
            <w:tcW w:w="288" w:type="pct"/>
            <w:vMerge w:val="restar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before="139" w:after="0" w:line="240" w:lineRule="auto"/>
              <w:ind w:left="215"/>
              <w:rPr>
                <w:rFonts w:ascii="Times New Roman" w:eastAsia="Calibri" w:hAnsi="Times New Roman" w:cs="Times New Roman"/>
                <w:sz w:val="18"/>
                <w:szCs w:val="18"/>
                <w:lang w:val="en-US"/>
              </w:rPr>
            </w:pPr>
            <w:r w:rsidRPr="00304D46">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lang w:val="en-US"/>
              </w:rPr>
            </w:pPr>
            <w:r w:rsidRPr="00304D46">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before="139" w:after="0" w:line="240" w:lineRule="auto"/>
              <w:ind w:left="186"/>
              <w:rPr>
                <w:rFonts w:ascii="Times New Roman" w:eastAsia="Calibri" w:hAnsi="Times New Roman" w:cs="Times New Roman"/>
                <w:sz w:val="18"/>
                <w:szCs w:val="18"/>
                <w:lang w:val="en-US"/>
              </w:rPr>
            </w:pPr>
            <w:r w:rsidRPr="00304D46">
              <w:rPr>
                <w:rFonts w:ascii="Times New Roman" w:eastAsia="Calibri" w:hAnsi="Times New Roman" w:cs="Times New Roman"/>
                <w:b/>
                <w:bCs/>
                <w:spacing w:val="-2"/>
                <w:sz w:val="18"/>
                <w:szCs w:val="18"/>
                <w:lang w:val="en-US"/>
              </w:rPr>
              <w:t>Ед.</w:t>
            </w:r>
            <w:r w:rsidRPr="00304D46">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4"/>
              <w:jc w:val="center"/>
              <w:rPr>
                <w:rFonts w:ascii="Times New Roman" w:eastAsia="Calibri" w:hAnsi="Times New Roman" w:cs="Times New Roman"/>
                <w:sz w:val="18"/>
                <w:szCs w:val="18"/>
              </w:rPr>
            </w:pPr>
            <w:r w:rsidRPr="00304D46">
              <w:rPr>
                <w:rFonts w:ascii="Times New Roman" w:eastAsia="Times New Roman" w:hAnsi="Times New Roman" w:cs="Times New Roman"/>
                <w:b/>
                <w:bCs/>
                <w:sz w:val="18"/>
                <w:szCs w:val="18"/>
                <w:lang w:val="en-US"/>
              </w:rPr>
              <w:t>20</w:t>
            </w:r>
            <w:r w:rsidRPr="00304D46">
              <w:rPr>
                <w:rFonts w:ascii="Times New Roman" w:eastAsia="Times New Roman" w:hAnsi="Times New Roman" w:cs="Times New Roman"/>
                <w:b/>
                <w:bCs/>
                <w:sz w:val="18"/>
                <w:szCs w:val="18"/>
              </w:rPr>
              <w:t>22</w:t>
            </w:r>
          </w:p>
        </w:tc>
        <w:tc>
          <w:tcPr>
            <w:tcW w:w="1017" w:type="pct"/>
            <w:gridSpan w:val="2"/>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jc w:val="center"/>
              <w:rPr>
                <w:rFonts w:ascii="Times New Roman" w:eastAsia="Calibri" w:hAnsi="Times New Roman" w:cs="Times New Roman"/>
                <w:sz w:val="18"/>
                <w:szCs w:val="18"/>
              </w:rPr>
            </w:pPr>
            <w:r w:rsidRPr="00304D46">
              <w:rPr>
                <w:rFonts w:ascii="Times New Roman" w:eastAsia="Times New Roman" w:hAnsi="Times New Roman" w:cs="Times New Roman"/>
                <w:b/>
                <w:bCs/>
                <w:sz w:val="18"/>
                <w:szCs w:val="18"/>
                <w:lang w:val="en-US"/>
              </w:rPr>
              <w:t>202</w:t>
            </w:r>
            <w:r w:rsidRPr="00304D46">
              <w:rPr>
                <w:rFonts w:ascii="Times New Roman" w:eastAsia="Times New Roman" w:hAnsi="Times New Roman" w:cs="Times New Roman"/>
                <w:b/>
                <w:bCs/>
                <w:sz w:val="18"/>
                <w:szCs w:val="18"/>
              </w:rPr>
              <w:t>3</w:t>
            </w:r>
          </w:p>
        </w:tc>
      </w:tr>
      <w:tr w:rsidR="00304D46" w:rsidRPr="00304D46" w:rsidTr="009244A4">
        <w:trPr>
          <w:trHeight w:hRule="exact" w:val="294"/>
          <w:jc w:val="center"/>
        </w:trPr>
        <w:tc>
          <w:tcPr>
            <w:tcW w:w="288" w:type="pct"/>
            <w:vMerge/>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57"/>
              <w:rPr>
                <w:rFonts w:ascii="Times New Roman" w:eastAsia="Calibri" w:hAnsi="Times New Roman" w:cs="Times New Roman"/>
                <w:sz w:val="18"/>
                <w:szCs w:val="18"/>
                <w:lang w:val="en-US"/>
              </w:rPr>
            </w:pPr>
            <w:r w:rsidRPr="00304D46">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81"/>
              <w:rPr>
                <w:rFonts w:ascii="Times New Roman" w:eastAsia="Calibri" w:hAnsi="Times New Roman" w:cs="Times New Roman"/>
                <w:sz w:val="18"/>
                <w:szCs w:val="18"/>
                <w:lang w:val="en-US"/>
              </w:rPr>
            </w:pPr>
            <w:r w:rsidRPr="00304D46">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28"/>
              <w:rPr>
                <w:rFonts w:ascii="Times New Roman" w:eastAsia="Calibri" w:hAnsi="Times New Roman" w:cs="Times New Roman"/>
                <w:sz w:val="18"/>
                <w:szCs w:val="18"/>
                <w:lang w:val="en-US"/>
              </w:rPr>
            </w:pPr>
            <w:r w:rsidRPr="00304D46">
              <w:rPr>
                <w:rFonts w:ascii="Times New Roman" w:eastAsia="Calibri" w:hAnsi="Times New Roman" w:cs="Times New Roman"/>
                <w:b/>
                <w:bCs/>
                <w:spacing w:val="-1"/>
                <w:sz w:val="18"/>
                <w:szCs w:val="18"/>
                <w:lang w:val="en-US"/>
              </w:rPr>
              <w:t>годовое</w:t>
            </w:r>
          </w:p>
        </w:tc>
        <w:tc>
          <w:tcPr>
            <w:tcW w:w="559"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76"/>
              <w:rPr>
                <w:rFonts w:ascii="Times New Roman" w:eastAsia="Calibri" w:hAnsi="Times New Roman" w:cs="Times New Roman"/>
                <w:sz w:val="18"/>
                <w:szCs w:val="18"/>
                <w:lang w:val="en-US"/>
              </w:rPr>
            </w:pPr>
            <w:r w:rsidRPr="00304D46">
              <w:rPr>
                <w:rFonts w:ascii="Times New Roman" w:eastAsia="Calibri" w:hAnsi="Times New Roman" w:cs="Times New Roman"/>
                <w:b/>
                <w:bCs/>
                <w:spacing w:val="-1"/>
                <w:sz w:val="18"/>
                <w:szCs w:val="18"/>
              </w:rPr>
              <w:t>с</w:t>
            </w:r>
            <w:r w:rsidRPr="00304D46">
              <w:rPr>
                <w:rFonts w:ascii="Times New Roman" w:eastAsia="Calibri" w:hAnsi="Times New Roman" w:cs="Times New Roman"/>
                <w:b/>
                <w:bCs/>
                <w:spacing w:val="-1"/>
                <w:sz w:val="18"/>
                <w:szCs w:val="18"/>
                <w:lang w:val="en-US"/>
              </w:rPr>
              <w:t>уточное</w:t>
            </w:r>
          </w:p>
        </w:tc>
      </w:tr>
      <w:tr w:rsidR="00304D46" w:rsidRPr="00304D46" w:rsidTr="009244A4">
        <w:trPr>
          <w:trHeight w:hRule="exact" w:val="289"/>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right="2"/>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lang w:val="en-US"/>
              </w:rPr>
            </w:pPr>
            <w:r w:rsidRPr="00304D46">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9,76</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lang w:eastAsia="ru-RU"/>
              </w:rPr>
            </w:pPr>
            <w:r w:rsidRPr="00304D46">
              <w:rPr>
                <w:rFonts w:ascii="Times New Roman" w:eastAsia="Calibri" w:hAnsi="Times New Roman" w:cs="Times New Roman"/>
                <w:color w:val="000000"/>
                <w:sz w:val="18"/>
                <w:szCs w:val="18"/>
                <w:lang w:val="en-US"/>
              </w:rPr>
              <w:t>0,0</w:t>
            </w:r>
            <w:r w:rsidRPr="00304D46">
              <w:rPr>
                <w:rFonts w:ascii="Times New Roman" w:eastAsia="Calibri" w:hAnsi="Times New Roman" w:cs="Times New Roman"/>
                <w:color w:val="000000"/>
                <w:sz w:val="18"/>
                <w:szCs w:val="18"/>
              </w:rPr>
              <w:t>011</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9,76</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lang w:eastAsia="ru-RU"/>
              </w:rPr>
            </w:pPr>
            <w:r w:rsidRPr="00304D46">
              <w:rPr>
                <w:rFonts w:ascii="Times New Roman" w:eastAsia="Calibri" w:hAnsi="Times New Roman" w:cs="Times New Roman"/>
                <w:color w:val="000000"/>
                <w:sz w:val="18"/>
                <w:szCs w:val="18"/>
                <w:lang w:val="en-US"/>
              </w:rPr>
              <w:t>0,0</w:t>
            </w:r>
            <w:r w:rsidRPr="00304D46">
              <w:rPr>
                <w:rFonts w:ascii="Times New Roman" w:eastAsia="Calibri" w:hAnsi="Times New Roman" w:cs="Times New Roman"/>
                <w:color w:val="000000"/>
                <w:sz w:val="18"/>
                <w:szCs w:val="18"/>
              </w:rPr>
              <w:t>011</w:t>
            </w:r>
          </w:p>
        </w:tc>
      </w:tr>
      <w:tr w:rsidR="00304D46" w:rsidRPr="00304D46" w:rsidTr="009244A4">
        <w:trPr>
          <w:trHeight w:hRule="exact" w:val="294"/>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right="2"/>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rPr>
            </w:pPr>
            <w:r w:rsidRPr="00304D46">
              <w:rPr>
                <w:rFonts w:ascii="Times New Roman" w:eastAsia="Calibri" w:hAnsi="Times New Roman" w:cs="Times New Roman"/>
                <w:spacing w:val="-1"/>
                <w:sz w:val="18"/>
                <w:szCs w:val="18"/>
              </w:rPr>
              <w:t xml:space="preserve">Объем воды полученной </w:t>
            </w:r>
            <w:r w:rsidRPr="00304D46">
              <w:rPr>
                <w:rFonts w:ascii="Times New Roman" w:eastAsia="Calibri" w:hAnsi="Times New Roman" w:cs="Times New Roman"/>
                <w:spacing w:val="-3"/>
                <w:sz w:val="18"/>
                <w:szCs w:val="18"/>
              </w:rPr>
              <w:t xml:space="preserve">со </w:t>
            </w:r>
            <w:r w:rsidRPr="00304D46">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r>
      <w:tr w:rsidR="00304D46" w:rsidRPr="00304D46" w:rsidTr="009244A4">
        <w:trPr>
          <w:trHeight w:hRule="exact" w:val="573"/>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before="125" w:after="0" w:line="240" w:lineRule="auto"/>
              <w:ind w:right="2"/>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ight="106"/>
              <w:rPr>
                <w:rFonts w:ascii="Times New Roman" w:eastAsia="Calibri" w:hAnsi="Times New Roman" w:cs="Times New Roman"/>
                <w:sz w:val="18"/>
                <w:szCs w:val="18"/>
              </w:rPr>
            </w:pPr>
            <w:r w:rsidRPr="00304D46">
              <w:rPr>
                <w:rFonts w:ascii="Times New Roman" w:eastAsia="Calibri" w:hAnsi="Times New Roman" w:cs="Times New Roman"/>
                <w:spacing w:val="-1"/>
                <w:sz w:val="18"/>
                <w:szCs w:val="18"/>
              </w:rPr>
              <w:t xml:space="preserve">Объем воды используемой </w:t>
            </w:r>
            <w:r w:rsidRPr="00304D46">
              <w:rPr>
                <w:rFonts w:ascii="Times New Roman" w:eastAsia="Calibri" w:hAnsi="Times New Roman" w:cs="Times New Roman"/>
                <w:sz w:val="18"/>
                <w:szCs w:val="18"/>
              </w:rPr>
              <w:t xml:space="preserve">на </w:t>
            </w:r>
            <w:r w:rsidRPr="00304D46">
              <w:rPr>
                <w:rFonts w:ascii="Times New Roman" w:eastAsia="Calibri" w:hAnsi="Times New Roman" w:cs="Times New Roman"/>
                <w:spacing w:val="-1"/>
                <w:sz w:val="18"/>
                <w:szCs w:val="18"/>
              </w:rPr>
              <w:t xml:space="preserve">технологические </w:t>
            </w:r>
            <w:r w:rsidRPr="00304D46">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before="125"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r>
      <w:tr w:rsidR="00304D46" w:rsidRPr="00304D46" w:rsidTr="009244A4">
        <w:trPr>
          <w:trHeight w:hRule="exact" w:val="573"/>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before="130" w:after="0" w:line="240" w:lineRule="auto"/>
              <w:ind w:right="2"/>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ight="566"/>
              <w:rPr>
                <w:rFonts w:ascii="Times New Roman" w:eastAsia="Calibri" w:hAnsi="Times New Roman" w:cs="Times New Roman"/>
                <w:sz w:val="18"/>
                <w:szCs w:val="18"/>
              </w:rPr>
            </w:pPr>
            <w:r w:rsidRPr="00304D46">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before="130"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r>
      <w:tr w:rsidR="00304D46" w:rsidRPr="00304D46" w:rsidTr="009244A4">
        <w:trPr>
          <w:trHeight w:hRule="exact" w:val="289"/>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right="2"/>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rPr>
            </w:pPr>
            <w:r w:rsidRPr="00304D46">
              <w:rPr>
                <w:rFonts w:ascii="Times New Roman" w:eastAsia="Calibri" w:hAnsi="Times New Roman" w:cs="Times New Roman"/>
                <w:spacing w:val="-1"/>
                <w:sz w:val="18"/>
                <w:szCs w:val="18"/>
              </w:rPr>
              <w:t xml:space="preserve">Объем воды поданной </w:t>
            </w:r>
            <w:r w:rsidRPr="00304D46">
              <w:rPr>
                <w:rFonts w:ascii="Times New Roman" w:eastAsia="Calibri" w:hAnsi="Times New Roman" w:cs="Times New Roman"/>
                <w:sz w:val="18"/>
                <w:szCs w:val="18"/>
              </w:rPr>
              <w:t>в</w:t>
            </w:r>
            <w:r w:rsidRPr="00304D46">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9,76</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lang w:val="en-US"/>
              </w:rPr>
              <w:t>0,0</w:t>
            </w:r>
            <w:r w:rsidRPr="00304D46">
              <w:rPr>
                <w:rFonts w:ascii="Times New Roman" w:eastAsia="Calibri" w:hAnsi="Times New Roman" w:cs="Times New Roman"/>
                <w:color w:val="000000"/>
                <w:sz w:val="18"/>
                <w:szCs w:val="18"/>
              </w:rPr>
              <w:t>011</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9,76</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lang w:val="en-US"/>
              </w:rPr>
              <w:t>0,0</w:t>
            </w:r>
            <w:r w:rsidRPr="00304D46">
              <w:rPr>
                <w:rFonts w:ascii="Times New Roman" w:eastAsia="Calibri" w:hAnsi="Times New Roman" w:cs="Times New Roman"/>
                <w:color w:val="000000"/>
                <w:sz w:val="18"/>
                <w:szCs w:val="18"/>
              </w:rPr>
              <w:t>011</w:t>
            </w:r>
          </w:p>
        </w:tc>
      </w:tr>
      <w:tr w:rsidR="00304D46" w:rsidRPr="00304D46" w:rsidTr="009244A4">
        <w:trPr>
          <w:trHeight w:hRule="exact" w:val="294"/>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right="2"/>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Потери</w:t>
            </w:r>
            <w:r w:rsidRPr="00304D46">
              <w:rPr>
                <w:rFonts w:ascii="Times New Roman" w:eastAsia="Calibri" w:hAnsi="Times New Roman" w:cs="Times New Roman"/>
                <w:spacing w:val="-1"/>
                <w:sz w:val="18"/>
                <w:szCs w:val="18"/>
                <w:lang w:val="en-US"/>
              </w:rPr>
              <w:t>воды</w:t>
            </w:r>
            <w:r w:rsidRPr="00304D46">
              <w:rPr>
                <w:rFonts w:ascii="Times New Roman" w:eastAsia="Calibri" w:hAnsi="Times New Roman" w:cs="Times New Roman"/>
                <w:sz w:val="18"/>
                <w:szCs w:val="18"/>
                <w:lang w:val="en-US"/>
              </w:rPr>
              <w:t>в</w:t>
            </w:r>
            <w:r w:rsidRPr="00304D46">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0,88</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lang w:val="en-US"/>
              </w:rPr>
              <w:t>0,00</w:t>
            </w:r>
            <w:r w:rsidRPr="00304D46">
              <w:rPr>
                <w:rFonts w:ascii="Times New Roman" w:eastAsia="Calibri" w:hAnsi="Times New Roman" w:cs="Times New Roman"/>
                <w:color w:val="000000"/>
                <w:sz w:val="18"/>
                <w:szCs w:val="18"/>
              </w:rPr>
              <w:t>01</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0,88</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lang w:val="en-US"/>
              </w:rPr>
              <w:t>0,00</w:t>
            </w:r>
            <w:r w:rsidRPr="00304D46">
              <w:rPr>
                <w:rFonts w:ascii="Times New Roman" w:eastAsia="Calibri" w:hAnsi="Times New Roman" w:cs="Times New Roman"/>
                <w:color w:val="000000"/>
                <w:sz w:val="18"/>
                <w:szCs w:val="18"/>
              </w:rPr>
              <w:t>01</w:t>
            </w:r>
          </w:p>
        </w:tc>
      </w:tr>
      <w:tr w:rsidR="00304D46" w:rsidRPr="00304D46" w:rsidTr="009244A4">
        <w:trPr>
          <w:trHeight w:hRule="exact" w:val="294"/>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right="2"/>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rPr>
            </w:pPr>
            <w:r w:rsidRPr="00304D46">
              <w:rPr>
                <w:rFonts w:ascii="Times New Roman" w:eastAsia="Calibri" w:hAnsi="Times New Roman" w:cs="Times New Roman"/>
                <w:spacing w:val="-1"/>
                <w:sz w:val="18"/>
                <w:szCs w:val="18"/>
              </w:rPr>
              <w:t xml:space="preserve">Объем реализации воды, </w:t>
            </w:r>
            <w:r w:rsidRPr="00304D46">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8,8</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0,0010</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8,8</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0,0010</w:t>
            </w:r>
          </w:p>
        </w:tc>
      </w:tr>
      <w:tr w:rsidR="00304D46" w:rsidRPr="00304D46" w:rsidTr="009244A4">
        <w:trPr>
          <w:trHeight w:hRule="exact" w:val="289"/>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86"/>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w:t>
            </w:r>
            <w:r w:rsidRPr="00304D46">
              <w:rPr>
                <w:rFonts w:ascii="Times New Roman" w:eastAsia="Calibri" w:hAnsi="Times New Roman" w:cs="Times New Roman"/>
                <w:spacing w:val="-1"/>
                <w:sz w:val="18"/>
                <w:szCs w:val="18"/>
                <w:lang w:val="en-US"/>
              </w:rPr>
              <w:t>Отпущеннойводы</w:t>
            </w:r>
            <w:r w:rsidRPr="00304D46">
              <w:rPr>
                <w:rFonts w:ascii="Times New Roman" w:eastAsia="Calibri" w:hAnsi="Times New Roman" w:cs="Times New Roman"/>
                <w:spacing w:val="-2"/>
                <w:sz w:val="18"/>
                <w:szCs w:val="18"/>
                <w:lang w:val="en-US"/>
              </w:rPr>
              <w:t>другим</w:t>
            </w:r>
            <w:r w:rsidRPr="00304D46">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3"/>
              <w:jc w:val="center"/>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0,000</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lang w:val="en-US"/>
              </w:rPr>
            </w:pPr>
            <w:r w:rsidRPr="00304D46">
              <w:rPr>
                <w:rFonts w:ascii="Times New Roman" w:eastAsia="Calibri" w:hAnsi="Times New Roman" w:cs="Times New Roman"/>
                <w:color w:val="000000"/>
                <w:sz w:val="18"/>
                <w:szCs w:val="18"/>
                <w:lang w:val="en-US"/>
              </w:rPr>
              <w:t>0</w:t>
            </w:r>
          </w:p>
        </w:tc>
      </w:tr>
      <w:tr w:rsidR="00304D46" w:rsidRPr="00304D46" w:rsidTr="009244A4">
        <w:trPr>
          <w:trHeight w:hRule="exact" w:val="294"/>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86"/>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w:t>
            </w:r>
            <w:r w:rsidRPr="00304D46">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304D46" w:rsidRPr="00304D46" w:rsidRDefault="00304D46" w:rsidP="00304D46">
            <w:pPr>
              <w:spacing w:after="0" w:line="240" w:lineRule="auto"/>
              <w:jc w:val="center"/>
              <w:rPr>
                <w:rFonts w:ascii="Times New Roman" w:eastAsia="Calibri" w:hAnsi="Times New Roman" w:cs="Times New Roman"/>
                <w:color w:val="000000"/>
                <w:sz w:val="18"/>
                <w:szCs w:val="18"/>
                <w:lang w:eastAsia="ru-RU"/>
              </w:rPr>
            </w:pPr>
            <w:r w:rsidRPr="00304D46">
              <w:rPr>
                <w:rFonts w:ascii="Times New Roman" w:eastAsia="Calibri" w:hAnsi="Times New Roman" w:cs="Times New Roman"/>
                <w:color w:val="000000"/>
                <w:sz w:val="18"/>
                <w:szCs w:val="18"/>
              </w:rPr>
              <w:t>7,59</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0,0009</w:t>
            </w:r>
          </w:p>
        </w:tc>
        <w:tc>
          <w:tcPr>
            <w:tcW w:w="458" w:type="pct"/>
            <w:tcBorders>
              <w:top w:val="single" w:sz="6" w:space="0" w:color="000000"/>
              <w:left w:val="single" w:sz="6" w:space="0" w:color="000000"/>
              <w:bottom w:val="single" w:sz="6" w:space="0" w:color="000000"/>
              <w:right w:val="single" w:sz="6" w:space="0" w:color="000000"/>
            </w:tcBorders>
            <w:vAlign w:val="bottom"/>
          </w:tcPr>
          <w:p w:rsidR="00304D46" w:rsidRPr="00304D46" w:rsidRDefault="00304D46" w:rsidP="00304D46">
            <w:pPr>
              <w:spacing w:after="0" w:line="240" w:lineRule="auto"/>
              <w:jc w:val="center"/>
              <w:rPr>
                <w:rFonts w:ascii="Times New Roman" w:eastAsia="Calibri" w:hAnsi="Times New Roman" w:cs="Times New Roman"/>
                <w:color w:val="000000"/>
                <w:sz w:val="18"/>
                <w:szCs w:val="18"/>
                <w:lang w:eastAsia="ru-RU"/>
              </w:rPr>
            </w:pPr>
            <w:r w:rsidRPr="00304D46">
              <w:rPr>
                <w:rFonts w:ascii="Times New Roman" w:eastAsia="Calibri" w:hAnsi="Times New Roman" w:cs="Times New Roman"/>
                <w:color w:val="000000"/>
                <w:sz w:val="18"/>
                <w:szCs w:val="18"/>
              </w:rPr>
              <w:t>7,59</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0,0009</w:t>
            </w:r>
          </w:p>
        </w:tc>
      </w:tr>
      <w:tr w:rsidR="00304D46" w:rsidRPr="00304D46" w:rsidTr="009244A4">
        <w:trPr>
          <w:trHeight w:hRule="exact" w:val="289"/>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86"/>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w:t>
            </w:r>
            <w:r w:rsidRPr="00304D46">
              <w:rPr>
                <w:rFonts w:ascii="Times New Roman" w:eastAsia="Calibri" w:hAnsi="Times New Roman" w:cs="Times New Roman"/>
                <w:spacing w:val="-1"/>
                <w:sz w:val="18"/>
                <w:szCs w:val="18"/>
                <w:lang w:val="en-US"/>
              </w:rPr>
              <w:t>Бюджетные</w:t>
            </w:r>
            <w:r w:rsidRPr="00304D46">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1,11</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0,0001</w:t>
            </w:r>
          </w:p>
        </w:tc>
        <w:tc>
          <w:tcPr>
            <w:tcW w:w="458" w:type="pct"/>
            <w:tcBorders>
              <w:top w:val="single" w:sz="6" w:space="0" w:color="000000"/>
              <w:left w:val="single" w:sz="6" w:space="0" w:color="000000"/>
              <w:bottom w:val="single" w:sz="6" w:space="0" w:color="000000"/>
              <w:right w:val="single" w:sz="6" w:space="0" w:color="000000"/>
            </w:tcBorders>
            <w:vAlign w:val="bottom"/>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1,11</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0,0001</w:t>
            </w:r>
          </w:p>
        </w:tc>
      </w:tr>
      <w:tr w:rsidR="00304D46" w:rsidRPr="00304D46" w:rsidTr="009244A4">
        <w:trPr>
          <w:trHeight w:hRule="exact" w:val="294"/>
          <w:jc w:val="center"/>
        </w:trPr>
        <w:tc>
          <w:tcPr>
            <w:tcW w:w="288"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86"/>
              <w:rPr>
                <w:rFonts w:ascii="Times New Roman" w:eastAsia="Calibri" w:hAnsi="Times New Roman" w:cs="Times New Roman"/>
                <w:sz w:val="18"/>
                <w:szCs w:val="18"/>
                <w:lang w:val="en-US"/>
              </w:rPr>
            </w:pPr>
            <w:r w:rsidRPr="00304D46">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104"/>
              <w:rPr>
                <w:rFonts w:ascii="Times New Roman" w:eastAsia="Calibri" w:hAnsi="Times New Roman" w:cs="Times New Roman"/>
                <w:sz w:val="18"/>
                <w:szCs w:val="18"/>
              </w:rPr>
            </w:pPr>
            <w:r w:rsidRPr="00304D46">
              <w:rPr>
                <w:rFonts w:ascii="Times New Roman" w:eastAsia="Calibri" w:hAnsi="Times New Roman" w:cs="Times New Roman"/>
                <w:sz w:val="18"/>
                <w:szCs w:val="18"/>
                <w:lang w:val="en-US"/>
              </w:rPr>
              <w:t>-</w:t>
            </w:r>
            <w:r w:rsidRPr="00304D46">
              <w:rPr>
                <w:rFonts w:ascii="Times New Roman" w:eastAsia="Calibri" w:hAnsi="Times New Roman" w:cs="Times New Roman"/>
                <w:spacing w:val="-1"/>
                <w:sz w:val="18"/>
                <w:szCs w:val="18"/>
                <w:lang w:val="en-US"/>
              </w:rPr>
              <w:t>Пр</w:t>
            </w:r>
            <w:r w:rsidRPr="00304D46">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304D46" w:rsidRPr="00304D46" w:rsidRDefault="00304D46" w:rsidP="00304D46">
            <w:pPr>
              <w:widowControl w:val="0"/>
              <w:spacing w:after="0" w:line="240" w:lineRule="auto"/>
              <w:ind w:left="234"/>
              <w:rPr>
                <w:rFonts w:ascii="Times New Roman" w:eastAsia="Calibri" w:hAnsi="Times New Roman" w:cs="Times New Roman"/>
                <w:sz w:val="18"/>
                <w:szCs w:val="18"/>
                <w:lang w:val="en-US"/>
              </w:rPr>
            </w:pPr>
            <w:r w:rsidRPr="00304D4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0,11</w:t>
            </w:r>
          </w:p>
        </w:tc>
        <w:tc>
          <w:tcPr>
            <w:tcW w:w="563"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0,00001</w:t>
            </w:r>
          </w:p>
        </w:tc>
        <w:tc>
          <w:tcPr>
            <w:tcW w:w="458" w:type="pct"/>
            <w:tcBorders>
              <w:top w:val="single" w:sz="6" w:space="0" w:color="000000"/>
              <w:left w:val="single" w:sz="6" w:space="0" w:color="000000"/>
              <w:bottom w:val="single" w:sz="6" w:space="0" w:color="000000"/>
              <w:right w:val="single" w:sz="6" w:space="0" w:color="000000"/>
            </w:tcBorders>
            <w:vAlign w:val="bottom"/>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0,11</w:t>
            </w:r>
          </w:p>
        </w:tc>
        <w:tc>
          <w:tcPr>
            <w:tcW w:w="559" w:type="pct"/>
            <w:tcBorders>
              <w:top w:val="single" w:sz="6" w:space="0" w:color="000000"/>
              <w:left w:val="single" w:sz="6" w:space="0" w:color="000000"/>
              <w:bottom w:val="single" w:sz="6" w:space="0" w:color="000000"/>
              <w:right w:val="single" w:sz="6" w:space="0" w:color="000000"/>
            </w:tcBorders>
            <w:vAlign w:val="center"/>
          </w:tcPr>
          <w:p w:rsidR="00304D46" w:rsidRPr="00304D46" w:rsidRDefault="00304D46" w:rsidP="00304D46">
            <w:pPr>
              <w:widowControl w:val="0"/>
              <w:spacing w:after="0" w:line="240" w:lineRule="auto"/>
              <w:jc w:val="center"/>
              <w:rPr>
                <w:rFonts w:ascii="Times New Roman" w:eastAsia="Calibri" w:hAnsi="Times New Roman" w:cs="Times New Roman"/>
                <w:color w:val="000000"/>
                <w:sz w:val="18"/>
                <w:szCs w:val="18"/>
              </w:rPr>
            </w:pPr>
            <w:r w:rsidRPr="00304D46">
              <w:rPr>
                <w:rFonts w:ascii="Times New Roman" w:eastAsia="Calibri" w:hAnsi="Times New Roman" w:cs="Times New Roman"/>
                <w:color w:val="000000"/>
                <w:sz w:val="18"/>
                <w:szCs w:val="18"/>
              </w:rPr>
              <w:t>0,00001</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7E3B72">
        <w:rPr>
          <w:rFonts w:ascii="Times New Roman" w:hAnsi="Times New Roman" w:cs="Times New Roman"/>
          <w:sz w:val="24"/>
          <w:szCs w:val="24"/>
        </w:rPr>
        <w:t>Лучковского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304D46">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304D4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304D4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304D4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304D4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304D46"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304D4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304D4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304D4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1931AF" w:rsidRPr="00652216">
        <w:rPr>
          <w:noProof/>
        </w:rPr>
        <w:t>на момент данной актуализации отсутствует</w:t>
      </w:r>
      <w:r w:rsidR="001931AF">
        <w:rPr>
          <w:noProof/>
        </w:rPr>
        <w:t>.</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 xml:space="preserve">Об утверждении </w:t>
      </w:r>
      <w:r w:rsidRPr="00EC794A">
        <w:rPr>
          <w:noProof/>
        </w:rPr>
        <w:lastRenderedPageBreak/>
        <w:t>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lastRenderedPageBreak/>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lastRenderedPageBreak/>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343" w:rsidRDefault="00567343" w:rsidP="00B70CA8">
      <w:pPr>
        <w:spacing w:after="0" w:line="240" w:lineRule="auto"/>
      </w:pPr>
      <w:r>
        <w:separator/>
      </w:r>
    </w:p>
  </w:endnote>
  <w:endnote w:type="continuationSeparator" w:id="1">
    <w:p w:rsidR="00567343" w:rsidRDefault="00567343"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7E3B72" w:rsidRDefault="00EB701C">
        <w:pPr>
          <w:pStyle w:val="ae"/>
          <w:jc w:val="right"/>
        </w:pPr>
        <w:r>
          <w:fldChar w:fldCharType="begin"/>
        </w:r>
        <w:r w:rsidR="007E3B72">
          <w:instrText>PAGE   \* MERGEFORMAT</w:instrText>
        </w:r>
        <w:r>
          <w:fldChar w:fldCharType="separate"/>
        </w:r>
        <w:r w:rsidR="005D3DEE">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72" w:rsidRPr="00C367C2" w:rsidRDefault="007E3B72"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sidR="00872E49">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7E3B72" w:rsidRDefault="00EB701C">
        <w:pPr>
          <w:pStyle w:val="ae"/>
          <w:jc w:val="right"/>
        </w:pPr>
        <w:r>
          <w:fldChar w:fldCharType="begin"/>
        </w:r>
        <w:r w:rsidR="007E3B72">
          <w:instrText>PAGE   \* MERGEFORMAT</w:instrText>
        </w:r>
        <w:r>
          <w:fldChar w:fldCharType="separate"/>
        </w:r>
        <w:r w:rsidR="005D3DEE">
          <w:rPr>
            <w:noProof/>
          </w:rPr>
          <w:t>22</w:t>
        </w:r>
        <w:r>
          <w:fldChar w:fldCharType="end"/>
        </w:r>
      </w:p>
    </w:sdtContent>
  </w:sdt>
  <w:p w:rsidR="007E3B72" w:rsidRDefault="007E3B72">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343" w:rsidRDefault="00567343" w:rsidP="00B70CA8">
      <w:pPr>
        <w:spacing w:after="0" w:line="240" w:lineRule="auto"/>
      </w:pPr>
      <w:r>
        <w:separator/>
      </w:r>
    </w:p>
  </w:footnote>
  <w:footnote w:type="continuationSeparator" w:id="1">
    <w:p w:rsidR="00567343" w:rsidRDefault="00567343"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6E2"/>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1195"/>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1594"/>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44B6"/>
    <w:rsid w:val="00304D46"/>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490"/>
    <w:rsid w:val="00371B19"/>
    <w:rsid w:val="00374065"/>
    <w:rsid w:val="00374674"/>
    <w:rsid w:val="00375252"/>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51B7"/>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67343"/>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3DEE"/>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2398"/>
    <w:rsid w:val="00872E49"/>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862"/>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8688D"/>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1A92"/>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00D4"/>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01C"/>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5C54"/>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EB904-20B1-4027-A5A4-FFFA8229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2632</TotalTime>
  <Pages>23</Pages>
  <Words>8155</Words>
  <Characters>46488</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244</cp:revision>
  <cp:lastPrinted>2023-10-19T08:00:00Z</cp:lastPrinted>
  <dcterms:created xsi:type="dcterms:W3CDTF">2019-08-19T05:33:00Z</dcterms:created>
  <dcterms:modified xsi:type="dcterms:W3CDTF">2023-10-19T08:00:00Z</dcterms:modified>
</cp:coreProperties>
</file>