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B8" w:rsidRDefault="005A70B8" w:rsidP="005A70B8">
      <w:pPr>
        <w:shd w:val="clear" w:color="auto" w:fill="FFFFFF"/>
        <w:spacing w:before="200" w:after="0" w:line="240" w:lineRule="auto"/>
        <w:ind w:left="-1134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6302237" cy="3625794"/>
            <wp:effectExtent l="19050" t="0" r="3313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92" cy="362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B8" w:rsidRDefault="00E017D4" w:rsidP="005A70B8">
      <w:pPr>
        <w:shd w:val="clear" w:color="auto" w:fill="FFFFFF"/>
        <w:spacing w:before="200"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</w:rPr>
      </w:pPr>
      <w:r w:rsidRPr="00E017D4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</w:rPr>
        <w:t>Финансирование предупредительных мер: что это и как подать заявление</w:t>
      </w:r>
    </w:p>
    <w:p w:rsidR="00E017D4" w:rsidRPr="005A70B8" w:rsidRDefault="005A70B8" w:rsidP="005A70B8">
      <w:pPr>
        <w:shd w:val="clear" w:color="auto" w:fill="FFFFFF"/>
        <w:spacing w:before="200" w:after="0" w:line="240" w:lineRule="auto"/>
        <w:ind w:left="-1134"/>
        <w:jc w:val="center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color w:val="C00000"/>
          <w:sz w:val="28"/>
          <w:szCs w:val="28"/>
        </w:rPr>
        <w:t>Ч</w:t>
      </w:r>
      <w:r w:rsidR="00E017D4" w:rsidRPr="005A70B8">
        <w:rPr>
          <w:rFonts w:ascii="Times New Roman" w:hAnsi="Times New Roman" w:cs="Times New Roman"/>
          <w:color w:val="C00000"/>
          <w:sz w:val="28"/>
          <w:szCs w:val="28"/>
        </w:rPr>
        <w:t>то такое «финансирование предупредительных мер»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Работодатели, кроме ГУП и федеральных учреждений, обязаны направлять не менее 0,2% производственных затрат на выполнение мероприятий по охране труда (</w:t>
      </w:r>
      <w:hyperlink r:id="rId6" w:anchor="h9385" w:tgtFrame="_blank" w:history="1">
        <w:r w:rsidRPr="005A70B8">
          <w:rPr>
            <w:rStyle w:val="a4"/>
            <w:color w:val="FC7630"/>
            <w:sz w:val="23"/>
            <w:szCs w:val="23"/>
          </w:rPr>
          <w:t>ст. 225</w:t>
        </w:r>
      </w:hyperlink>
      <w:r w:rsidRPr="005A70B8">
        <w:rPr>
          <w:color w:val="222222"/>
          <w:sz w:val="23"/>
          <w:szCs w:val="23"/>
        </w:rPr>
        <w:t> ТК РФ; </w:t>
      </w:r>
      <w:hyperlink r:id="rId7" w:tgtFrame="_blank" w:history="1">
        <w:r w:rsidRPr="005A70B8">
          <w:rPr>
            <w:rStyle w:val="a4"/>
            <w:color w:val="FC7630"/>
            <w:sz w:val="23"/>
            <w:szCs w:val="23"/>
          </w:rPr>
          <w:t>Приказ Минтруда от 29.10.2021 № 771н</w:t>
        </w:r>
      </w:hyperlink>
      <w:r w:rsidRPr="005A70B8">
        <w:rPr>
          <w:color w:val="222222"/>
          <w:sz w:val="23"/>
          <w:szCs w:val="23"/>
        </w:rPr>
        <w:t>). Часть этих расходов можно возместить за счет государства — в рамках финансирования предупредительных мер.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Территориальные отделения СФР компенсируют затраты работодателя на охрану труда за счет страховых взносов «на травматизм». Порядок возмещения прописан в Правилах финансового обеспечения, утв. </w:t>
      </w:r>
      <w:hyperlink r:id="rId8" w:anchor="h124" w:tgtFrame="_blank" w:history="1">
        <w:r w:rsidRPr="005A70B8">
          <w:rPr>
            <w:rStyle w:val="a4"/>
            <w:color w:val="FC7630"/>
            <w:sz w:val="23"/>
            <w:szCs w:val="23"/>
          </w:rPr>
          <w:t>Приказом Минтруда от 11.07.2024 № 347н</w:t>
        </w:r>
      </w:hyperlink>
      <w:r w:rsidRPr="005A70B8">
        <w:rPr>
          <w:color w:val="222222"/>
          <w:sz w:val="23"/>
          <w:szCs w:val="23"/>
        </w:rPr>
        <w:t> (далее — </w:t>
      </w:r>
      <w:hyperlink r:id="rId9" w:anchor="h124" w:tgtFrame="_blank" w:history="1">
        <w:r w:rsidRPr="005A70B8">
          <w:rPr>
            <w:rStyle w:val="a4"/>
            <w:color w:val="FC7630"/>
            <w:sz w:val="23"/>
            <w:szCs w:val="23"/>
          </w:rPr>
          <w:t>Правилах № 347н</w:t>
        </w:r>
      </w:hyperlink>
      <w:r w:rsidRPr="005A70B8">
        <w:rPr>
          <w:color w:val="222222"/>
          <w:sz w:val="23"/>
          <w:szCs w:val="23"/>
        </w:rPr>
        <w:t>), которые действуют с 1 января 2025 года. 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Сама процедура компенсации расходов на охрану труда состоит из следующих этапов: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1 — страхователь рассчитывает сумму финансирования предупредительных мер (ФПМ) на текущий год. </w:t>
      </w:r>
      <w:r w:rsidRPr="005A70B8">
        <w:rPr>
          <w:color w:val="222222"/>
          <w:sz w:val="23"/>
          <w:szCs w:val="23"/>
        </w:rPr>
        <w:t>Также он должен погасить все задолженности по страховым взносам, пени, штрафам, чтобы получить возмещение.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2 — страхователь согласовывает с СФР (далее — Фондом) План финансового обеспечения предупредительных мер на текущий год</w:t>
      </w:r>
      <w:r w:rsidRPr="005A70B8">
        <w:rPr>
          <w:color w:val="222222"/>
          <w:sz w:val="23"/>
          <w:szCs w:val="23"/>
        </w:rPr>
        <w:t> — мероприятий по профилактике травматизма, сокращению профессиональных заболеваний и санаторно-курортному лечению определенных категорий работников (приложение к </w:t>
      </w:r>
      <w:hyperlink r:id="rId10" w:anchor="h203" w:tgtFrame="_blank" w:history="1">
        <w:r w:rsidRPr="005A70B8">
          <w:rPr>
            <w:rStyle w:val="a4"/>
            <w:color w:val="FC7630"/>
            <w:sz w:val="23"/>
            <w:szCs w:val="23"/>
          </w:rPr>
          <w:t>Правилам № 347н</w:t>
        </w:r>
      </w:hyperlink>
      <w:r w:rsidRPr="005A70B8">
        <w:rPr>
          <w:color w:val="222222"/>
          <w:sz w:val="23"/>
          <w:szCs w:val="23"/>
        </w:rPr>
        <w:t>).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3 — страхователь выполняет одобренный План за свой счет </w:t>
      </w:r>
      <w:r w:rsidRPr="005A70B8">
        <w:rPr>
          <w:color w:val="222222"/>
          <w:sz w:val="23"/>
          <w:szCs w:val="23"/>
        </w:rPr>
        <w:t xml:space="preserve">и в конце года </w:t>
      </w:r>
      <w:proofErr w:type="gramStart"/>
      <w:r w:rsidRPr="005A70B8">
        <w:rPr>
          <w:color w:val="222222"/>
          <w:sz w:val="23"/>
          <w:szCs w:val="23"/>
        </w:rPr>
        <w:t>отчитывается о</w:t>
      </w:r>
      <w:proofErr w:type="gramEnd"/>
      <w:r w:rsidRPr="005A70B8">
        <w:rPr>
          <w:color w:val="222222"/>
          <w:sz w:val="23"/>
          <w:szCs w:val="23"/>
        </w:rPr>
        <w:t> произведенных расходах в Фонд (п. 9 </w:t>
      </w:r>
      <w:hyperlink r:id="rId11" w:tgtFrame="_blank" w:history="1">
        <w:r w:rsidRPr="005A70B8">
          <w:rPr>
            <w:rStyle w:val="a4"/>
            <w:color w:val="FC7630"/>
            <w:sz w:val="23"/>
            <w:szCs w:val="23"/>
          </w:rPr>
          <w:t>Правил № 347н</w:t>
        </w:r>
      </w:hyperlink>
      <w:r w:rsidRPr="005A70B8">
        <w:rPr>
          <w:color w:val="222222"/>
          <w:sz w:val="23"/>
          <w:szCs w:val="23"/>
        </w:rPr>
        <w:t>).</w:t>
      </w:r>
    </w:p>
    <w:p w:rsidR="00E017D4" w:rsidRPr="005A70B8" w:rsidRDefault="00E017D4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rStyle w:val="a5"/>
          <w:rFonts w:eastAsiaTheme="majorEastAsia"/>
          <w:color w:val="222222"/>
          <w:sz w:val="23"/>
          <w:szCs w:val="23"/>
        </w:rPr>
        <w:t>Этап 4 — Фонд по заявлению страхователя в конце года возмещает ему фактические затраты по утвержденному Плану</w:t>
      </w:r>
      <w:r w:rsidRPr="005A70B8">
        <w:rPr>
          <w:color w:val="222222"/>
          <w:sz w:val="23"/>
          <w:szCs w:val="23"/>
        </w:rPr>
        <w:t>, перечисляя деньги на расчетный счет. По общему правилу работодатель получит их до конца текущего года (п.15 </w:t>
      </w:r>
      <w:hyperlink r:id="rId12" w:tgtFrame="_blank" w:history="1">
        <w:r w:rsidRPr="005A70B8">
          <w:rPr>
            <w:rStyle w:val="a4"/>
            <w:color w:val="FC7630"/>
            <w:sz w:val="23"/>
            <w:szCs w:val="23"/>
          </w:rPr>
          <w:t>Правил № 347н</w:t>
        </w:r>
      </w:hyperlink>
      <w:r w:rsidRPr="005A70B8">
        <w:rPr>
          <w:color w:val="222222"/>
          <w:sz w:val="23"/>
          <w:szCs w:val="23"/>
        </w:rPr>
        <w:t>).</w:t>
      </w:r>
    </w:p>
    <w:p w:rsidR="005A70B8" w:rsidRDefault="005A70B8" w:rsidP="005A70B8">
      <w:pPr>
        <w:pStyle w:val="2"/>
        <w:shd w:val="clear" w:color="auto" w:fill="FFFFFF"/>
        <w:spacing w:before="801" w:after="40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226773" w:rsidRPr="005A70B8" w:rsidRDefault="00226773" w:rsidP="005A70B8">
      <w:pPr>
        <w:pStyle w:val="2"/>
        <w:shd w:val="clear" w:color="auto" w:fill="FFFFFF"/>
        <w:spacing w:before="801" w:after="40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color w:val="C00000"/>
          <w:sz w:val="28"/>
          <w:szCs w:val="28"/>
        </w:rPr>
        <w:t>По каким мероприятиям можно получить компенсацию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Расходы на охрану труда и улучшение условий труда можно возместить только по тем направлениям, которые указаны в Правилах (п. </w:t>
      </w:r>
      <w:hyperlink r:id="rId13" w:tgtFrame="_blank" w:history="1">
        <w:r w:rsidRPr="005A70B8">
          <w:rPr>
            <w:rStyle w:val="a4"/>
            <w:color w:val="FC7630"/>
            <w:sz w:val="23"/>
            <w:szCs w:val="23"/>
          </w:rPr>
          <w:t>2</w:t>
        </w:r>
      </w:hyperlink>
      <w:r w:rsidRPr="005A70B8">
        <w:rPr>
          <w:color w:val="222222"/>
          <w:sz w:val="23"/>
          <w:szCs w:val="23"/>
        </w:rPr>
        <w:t>). Это: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проведение специальной оценки условий труда (СОУТ);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реализация мероприятий по исключению опасных рабочих мест;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proofErr w:type="gram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обучение по охране</w:t>
      </w:r>
      <w:proofErr w:type="gramEnd"/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 труда отдельных категорий работников;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приобретение </w:t>
      </w:r>
      <w:proofErr w:type="gram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СИЗ</w:t>
      </w:r>
      <w:proofErr w:type="gramEnd"/>
      <w:r w:rsidRPr="005A70B8">
        <w:rPr>
          <w:rFonts w:ascii="Times New Roman" w:hAnsi="Times New Roman" w:cs="Times New Roman"/>
          <w:color w:val="222222"/>
          <w:sz w:val="23"/>
          <w:szCs w:val="23"/>
        </w:rPr>
        <w:t>, изготовленных на территории ЕАЭС, и смывающих средств;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санаторно-курортное лечение «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вредников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»,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предпенсионеров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проведение обязательных периодических медосмотров;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обеспечение лечебно-профилактическим питанием (ЛПП) работников, для кого ЛПП предусмотрено </w:t>
      </w:r>
      <w:hyperlink r:id="rId14" w:anchor="l30" w:tgtFrame="_blank" w:history="1">
        <w:r w:rsidRPr="005A70B8">
          <w:rPr>
            <w:rStyle w:val="a4"/>
            <w:rFonts w:ascii="Times New Roman" w:hAnsi="Times New Roman" w:cs="Times New Roman"/>
            <w:color w:val="FC7630"/>
            <w:sz w:val="23"/>
            <w:szCs w:val="23"/>
          </w:rPr>
          <w:t>перечнем</w:t>
        </w:r>
      </w:hyperlink>
      <w:r w:rsidRPr="005A70B8">
        <w:rPr>
          <w:rFonts w:ascii="Times New Roman" w:hAnsi="Times New Roman" w:cs="Times New Roman"/>
          <w:color w:val="222222"/>
          <w:sz w:val="23"/>
          <w:szCs w:val="23"/>
        </w:rPr>
        <w:t>, утвержденным Приказом Минтруда от 16.05.2022 № 298н;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приобретение зарегистрированных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алкометров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 и тестеров на ПАВ;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покупка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тахографов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аптечек оказания первой помощи;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покупка приборов и устрой</w:t>
      </w:r>
      <w:proofErr w:type="gram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ств дл</w:t>
      </w:r>
      <w:proofErr w:type="gramEnd"/>
      <w:r w:rsidRPr="005A70B8">
        <w:rPr>
          <w:rFonts w:ascii="Times New Roman" w:hAnsi="Times New Roman" w:cs="Times New Roman"/>
          <w:color w:val="222222"/>
          <w:sz w:val="23"/>
          <w:szCs w:val="23"/>
        </w:rPr>
        <w:t>я мониторинга состояния здоровья «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вредников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» на рабочем месте;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отдельных приборов, устройств, оборудования и их комплексов (систем), непосредственно предназначенных для обеспечения безопасности работников и </w:t>
      </w:r>
      <w:proofErr w:type="gram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контроля за</w:t>
      </w:r>
      <w:proofErr w:type="gramEnd"/>
      <w:r w:rsidRPr="005A70B8">
        <w:rPr>
          <w:rFonts w:ascii="Times New Roman" w:hAnsi="Times New Roman" w:cs="Times New Roman"/>
          <w:color w:val="222222"/>
          <w:sz w:val="23"/>
          <w:szCs w:val="23"/>
        </w:rPr>
        <w:t> безопасным ведением работ в рамках технологических процессов, в том числе на подземных работах;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приобретение компьютерных тренажеров, программного обеспечения, видеофильмов для </w:t>
      </w:r>
      <w:proofErr w:type="gram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обучения по охране</w:t>
      </w:r>
      <w:proofErr w:type="gramEnd"/>
      <w:r w:rsidRPr="005A70B8">
        <w:rPr>
          <w:rFonts w:ascii="Times New Roman" w:hAnsi="Times New Roman" w:cs="Times New Roman"/>
          <w:color w:val="222222"/>
          <w:sz w:val="23"/>
          <w:szCs w:val="23"/>
        </w:rPr>
        <w:t xml:space="preserve"> труда;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покупка приборов, устройств, оборудования для безопасного ведения горных работ;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обеспечение «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</w:rPr>
        <w:t>вредников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</w:rPr>
        <w:t>» бесплатным молоком в соответствии с </w:t>
      </w:r>
      <w:hyperlink r:id="rId15" w:anchor="l163" w:tgtFrame="_blank" w:history="1">
        <w:r w:rsidRPr="005A70B8">
          <w:rPr>
            <w:rStyle w:val="a4"/>
            <w:rFonts w:ascii="Times New Roman" w:hAnsi="Times New Roman" w:cs="Times New Roman"/>
            <w:color w:val="FC7630"/>
            <w:sz w:val="23"/>
            <w:szCs w:val="23"/>
          </w:rPr>
          <w:t>Приказом Минтруда от 12.05.2022 № 291н</w:t>
        </w:r>
      </w:hyperlink>
      <w:r w:rsidRPr="005A70B8">
        <w:rPr>
          <w:rFonts w:ascii="Times New Roman" w:hAnsi="Times New Roman" w:cs="Times New Roman"/>
          <w:color w:val="222222"/>
          <w:sz w:val="23"/>
          <w:szCs w:val="23"/>
        </w:rPr>
        <w:t>;</w:t>
      </w:r>
    </w:p>
    <w:p w:rsidR="00226773" w:rsidRPr="005A70B8" w:rsidRDefault="00226773" w:rsidP="005A70B8">
      <w:pPr>
        <w:numPr>
          <w:ilvl w:val="0"/>
          <w:numId w:val="1"/>
        </w:numPr>
        <w:shd w:val="clear" w:color="auto" w:fill="FFFFFF"/>
        <w:spacing w:before="100" w:beforeAutospacing="1" w:after="0" w:line="348" w:lineRule="atLeast"/>
        <w:ind w:left="0" w:firstLine="0"/>
        <w:jc w:val="both"/>
        <w:rPr>
          <w:rFonts w:ascii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</w:rPr>
        <w:t>оценка профессиональных рисков.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Не обязательно включать в план все перечисленные мероприятия. Работодатель сам определяет, какие из них он будет проводить. За основу, например, можно взять перечень мероприятий по улучшению условий и охраны труда из результатов СОУТ (п. 3 </w:t>
      </w:r>
      <w:hyperlink r:id="rId16" w:tgtFrame="_blank" w:history="1">
        <w:r w:rsidRPr="005A70B8">
          <w:rPr>
            <w:rStyle w:val="a4"/>
            <w:color w:val="FC7630"/>
            <w:sz w:val="23"/>
            <w:szCs w:val="23"/>
          </w:rPr>
          <w:t>Правил № 347н</w:t>
        </w:r>
      </w:hyperlink>
      <w:r w:rsidRPr="005A70B8">
        <w:rPr>
          <w:color w:val="222222"/>
          <w:sz w:val="23"/>
          <w:szCs w:val="23"/>
        </w:rPr>
        <w:t>; Раздел V приложения № 3 к </w:t>
      </w:r>
      <w:hyperlink r:id="rId17" w:anchor="l559" w:tgtFrame="_blank" w:history="1">
        <w:r w:rsidRPr="005A70B8">
          <w:rPr>
            <w:rStyle w:val="a4"/>
            <w:color w:val="FC7630"/>
            <w:sz w:val="23"/>
            <w:szCs w:val="23"/>
          </w:rPr>
          <w:t>Приказу Минтруда от 21.11.2023 № 817н</w:t>
        </w:r>
      </w:hyperlink>
      <w:r w:rsidRPr="005A70B8">
        <w:rPr>
          <w:color w:val="222222"/>
          <w:sz w:val="23"/>
          <w:szCs w:val="23"/>
        </w:rPr>
        <w:t>).</w:t>
      </w:r>
    </w:p>
    <w:p w:rsidR="00226773" w:rsidRPr="005A70B8" w:rsidRDefault="00226773" w:rsidP="005A70B8">
      <w:pPr>
        <w:pStyle w:val="2"/>
        <w:shd w:val="clear" w:color="auto" w:fill="FFFFFF"/>
        <w:spacing w:before="801" w:after="40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color w:val="C00000"/>
          <w:sz w:val="28"/>
          <w:szCs w:val="28"/>
        </w:rPr>
        <w:lastRenderedPageBreak/>
        <w:t>Сколько денег можно возместить от Фонда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Работодатель может потратить на охрану труда столько, сколько предусмотрено его планом мероприятий и бюджетом. Но Фонд возместит ему только то, что согласует в Плане финансового обеспечения, в пределах утвержденных лимитов и взносов страхователя в текущем году.</w:t>
      </w:r>
    </w:p>
    <w:p w:rsidR="005A70B8" w:rsidRDefault="00226773" w:rsidP="005A70B8">
      <w:pPr>
        <w:ind w:firstLine="708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Лимит для возмещения можно увеличить до 30%, если направить средства свыше 20% на оплату санаторно-курортного лечения </w:t>
      </w:r>
      <w:proofErr w:type="spellStart"/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предпенсионеров</w:t>
      </w:r>
      <w:proofErr w:type="spellEnd"/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 — тех, кому до выхода на пенсию осталось не более пяти лет. На другие мероприятия эту разницу направить нельзя.</w:t>
      </w:r>
    </w:p>
    <w:p w:rsidR="00226773" w:rsidRPr="005A70B8" w:rsidRDefault="00226773" w:rsidP="005A70B8">
      <w:pPr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70B8">
        <w:rPr>
          <w:rFonts w:ascii="Times New Roman" w:hAnsi="Times New Roman" w:cs="Times New Roman"/>
          <w:b/>
          <w:color w:val="C00000"/>
          <w:sz w:val="28"/>
          <w:szCs w:val="28"/>
        </w:rPr>
        <w:t>Как подать заявку на финансирование предупредительных мер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rStyle w:val="a5"/>
          <w:color w:val="222222"/>
          <w:sz w:val="23"/>
          <w:szCs w:val="23"/>
        </w:rPr>
        <w:t>Сначала нужно подготовить План финансового обеспечения предупредительных мер на текущий год. </w:t>
      </w:r>
      <w:r w:rsidRPr="005A70B8">
        <w:rPr>
          <w:color w:val="222222"/>
          <w:sz w:val="23"/>
          <w:szCs w:val="23"/>
        </w:rPr>
        <w:t>Образец его формы смотрите в приложении к </w:t>
      </w:r>
      <w:hyperlink r:id="rId18" w:tgtFrame="_blank" w:history="1">
        <w:r w:rsidRPr="005A70B8">
          <w:rPr>
            <w:rStyle w:val="a4"/>
            <w:color w:val="FC7630"/>
            <w:sz w:val="23"/>
            <w:szCs w:val="23"/>
            <w:u w:val="none"/>
          </w:rPr>
          <w:t>Правилам № 347н</w:t>
        </w:r>
      </w:hyperlink>
      <w:r w:rsidRPr="005A70B8">
        <w:rPr>
          <w:color w:val="222222"/>
          <w:sz w:val="23"/>
          <w:szCs w:val="23"/>
        </w:rPr>
        <w:t> или скачайте ниже. Обратите внимание, что по сравнению с 2024 годом План стал проще — в нем, например, нет граф по срокам мероприятий и оправдательным документам.</w:t>
      </w:r>
    </w:p>
    <w:p w:rsidR="00226773" w:rsidRPr="00226773" w:rsidRDefault="00226773" w:rsidP="005A70B8">
      <w:pPr>
        <w:shd w:val="clear" w:color="auto" w:fill="FFFFFF"/>
        <w:spacing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5A70B8">
        <w:rPr>
          <w:rFonts w:ascii="Times New Roman" w:eastAsia="Times New Roman" w:hAnsi="Times New Roman" w:cs="Times New Roman"/>
          <w:b/>
          <w:bCs/>
          <w:color w:val="222222"/>
          <w:sz w:val="23"/>
        </w:rPr>
        <w:t>Далее подайте комплект документов в территориальное отделение СФР</w:t>
      </w: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, в котором вы зарегистрированы (п. 4 </w:t>
      </w:r>
      <w:hyperlink r:id="rId19" w:tgtFrame="_blank" w:history="1">
        <w:r w:rsidRPr="005A70B8">
          <w:rPr>
            <w:rFonts w:ascii="Times New Roman" w:eastAsia="Times New Roman" w:hAnsi="Times New Roman" w:cs="Times New Roman"/>
            <w:color w:val="FC7630"/>
            <w:sz w:val="23"/>
          </w:rPr>
          <w:t>Правил № 347н</w:t>
        </w:r>
      </w:hyperlink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):</w:t>
      </w:r>
    </w:p>
    <w:p w:rsidR="00226773" w:rsidRPr="00226773" w:rsidRDefault="00226773" w:rsidP="005A70B8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заявление (бумажное или электронное) по форме приложения 1 к Административному регламенту, утв. </w:t>
      </w:r>
      <w:hyperlink r:id="rId20" w:anchor="h460" w:tgtFrame="_blank" w:history="1">
        <w:r w:rsidRPr="005A70B8">
          <w:rPr>
            <w:rFonts w:ascii="Times New Roman" w:eastAsia="Times New Roman" w:hAnsi="Times New Roman" w:cs="Times New Roman"/>
            <w:color w:val="FC7630"/>
            <w:sz w:val="23"/>
          </w:rPr>
          <w:t>Приказом ФСС от 07.05.2019 г. № 237</w:t>
        </w:r>
      </w:hyperlink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;</w:t>
      </w:r>
    </w:p>
    <w:p w:rsidR="00226773" w:rsidRPr="00226773" w:rsidRDefault="00226773" w:rsidP="005A70B8">
      <w:pPr>
        <w:numPr>
          <w:ilvl w:val="0"/>
          <w:numId w:val="2"/>
        </w:numPr>
        <w:shd w:val="clear" w:color="auto" w:fill="FFFFFF"/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план финансового обеспечения предупредительных мер.</w:t>
      </w:r>
    </w:p>
    <w:p w:rsidR="00226773" w:rsidRPr="00226773" w:rsidRDefault="00226773" w:rsidP="005A70B8">
      <w:pPr>
        <w:shd w:val="clear" w:color="auto" w:fill="FFFFFF"/>
        <w:spacing w:after="25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Повторим, что по общему правилу в 2025 году не нужно прикладывать к Плану оправдательные документы по направлениям расходов, и это серьезное упрощение по сравнению со старым порядком. </w:t>
      </w:r>
    </w:p>
    <w:p w:rsidR="00226773" w:rsidRPr="00226773" w:rsidRDefault="00226773" w:rsidP="005A70B8">
      <w:pPr>
        <w:shd w:val="clear" w:color="auto" w:fill="FFFFFF"/>
        <w:spacing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Исключение одно — вы собираетесь приобретать приборы, устройства и оборудование для безопасного ведения горных работ (</w:t>
      </w:r>
      <w:proofErr w:type="spellStart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пп</w:t>
      </w:r>
      <w:proofErr w:type="spellEnd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. «</w:t>
      </w:r>
      <w:proofErr w:type="spellStart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</w:t>
      </w:r>
      <w:proofErr w:type="spellEnd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» п. 2 </w:t>
      </w:r>
      <w:hyperlink r:id="rId21" w:anchor="h202:~:text=%D0%BF%D1%80%D0%B8%D0%BE%D0%B1%D1%80%D0%B5%D1%82%D0%B5%D0%BD%D0%B8%D0%B5%20%D0%BF%D1%80%D0%B8%D0%B1%D0%BE%D1%80%D0%BE%D0%B2" w:tgtFrame="_blank" w:history="1">
        <w:r w:rsidRPr="005A70B8">
          <w:rPr>
            <w:rFonts w:ascii="Times New Roman" w:eastAsia="Times New Roman" w:hAnsi="Times New Roman" w:cs="Times New Roman"/>
            <w:color w:val="FC7630"/>
            <w:sz w:val="23"/>
          </w:rPr>
          <w:t>Правил № 347н</w:t>
        </w:r>
      </w:hyperlink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). В этом случае к Плану нужно приложить копии заверенных печатью страхователя обосновывающих документов. Например, выписки из технических проектов или проектной документации.</w:t>
      </w:r>
    </w:p>
    <w:p w:rsidR="00226773" w:rsidRPr="00226773" w:rsidRDefault="00226773" w:rsidP="005A70B8">
      <w:pPr>
        <w:shd w:val="clear" w:color="auto" w:fill="FFFFFF"/>
        <w:spacing w:after="2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Подать комплект документов можно через </w:t>
      </w:r>
      <w:proofErr w:type="spellStart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>Госуслуги</w:t>
      </w:r>
      <w:proofErr w:type="spellEnd"/>
      <w:r w:rsidRPr="00226773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или передать лично в территориальное отделение Фонда, отправить по Почте России.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Подать заявку и План финансового обеспечения нужно </w:t>
      </w:r>
      <w:r w:rsidRPr="005A70B8">
        <w:rPr>
          <w:rStyle w:val="a5"/>
          <w:rFonts w:eastAsiaTheme="majorEastAsia"/>
          <w:color w:val="222222"/>
          <w:sz w:val="23"/>
          <w:szCs w:val="23"/>
        </w:rPr>
        <w:t>до 1 августа текущего года</w:t>
      </w:r>
      <w:r w:rsidRPr="005A70B8">
        <w:rPr>
          <w:color w:val="222222"/>
          <w:sz w:val="23"/>
          <w:szCs w:val="23"/>
        </w:rPr>
        <w:t>. Это значит, не позднее 31 июля документы должны быть в Фонде. Если эта дата выпадает на выходной, то подать заявление нужно еще раньше — на первый рабочий день сроки не переносятся.</w:t>
      </w:r>
    </w:p>
    <w:p w:rsidR="005A70B8" w:rsidRDefault="00226773" w:rsidP="005A70B8">
      <w:pPr>
        <w:pStyle w:val="a3"/>
        <w:shd w:val="clear" w:color="auto" w:fill="FFFFFF"/>
        <w:spacing w:before="0" w:beforeAutospacing="0" w:after="250" w:afterAutospacing="0"/>
        <w:ind w:firstLine="708"/>
        <w:jc w:val="both"/>
        <w:rPr>
          <w:color w:val="222222"/>
          <w:sz w:val="23"/>
          <w:szCs w:val="23"/>
        </w:rPr>
      </w:pPr>
      <w:r w:rsidRPr="005A70B8">
        <w:rPr>
          <w:color w:val="222222"/>
          <w:sz w:val="23"/>
          <w:szCs w:val="23"/>
        </w:rPr>
        <w:t>Не затягивайте с подачей документов до июля. Во-первых, Фонд возмещает расходы на охрану труда в пределах бюджетных ассигнований на текущий год. Это значит, что к моменту подачи заявления бюджет может быть уже распределен, и вам откажут. Во-вторых, оставьте запас времени на исправление возможных ошибок в документах и повторную их подачу. Это нужно успеть сделать не позднее 31 июля.</w:t>
      </w:r>
    </w:p>
    <w:p w:rsidR="00226773" w:rsidRPr="005A70B8" w:rsidRDefault="00226773" w:rsidP="005A70B8">
      <w:pPr>
        <w:pStyle w:val="a3"/>
        <w:shd w:val="clear" w:color="auto" w:fill="FFFFFF"/>
        <w:spacing w:before="0" w:beforeAutospacing="0" w:after="250" w:afterAutospacing="0"/>
        <w:jc w:val="center"/>
        <w:rPr>
          <w:b/>
          <w:color w:val="C00000"/>
          <w:sz w:val="28"/>
          <w:szCs w:val="28"/>
        </w:rPr>
      </w:pPr>
      <w:r w:rsidRPr="005A70B8">
        <w:rPr>
          <w:b/>
          <w:color w:val="C00000"/>
          <w:sz w:val="28"/>
          <w:szCs w:val="28"/>
        </w:rPr>
        <w:t>Как получить решение СФР</w:t>
      </w:r>
    </w:p>
    <w:p w:rsidR="00226773" w:rsidRPr="005A70B8" w:rsidRDefault="00226773" w:rsidP="005A70B8">
      <w:pPr>
        <w:ind w:firstLine="708"/>
        <w:jc w:val="both"/>
        <w:rPr>
          <w:rFonts w:ascii="Times New Roman" w:hAnsi="Times New Roman" w:cs="Times New Roman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Территориальное управление Фонда принимает решение о согласовании финансового обеспечения или отказе в течение 10 рабочих дней </w:t>
      </w:r>
      <w:proofErr w:type="gramStart"/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с даты получения</w:t>
      </w:r>
      <w:proofErr w:type="gramEnd"/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комплекта документов по общему правилу. Срок увеличат до 18 рабочих дней, если в плане заявлено мероприятие по покупке оборудования для безопасного ведения горных работ.</w:t>
      </w:r>
    </w:p>
    <w:p w:rsidR="00226773" w:rsidRPr="005A70B8" w:rsidRDefault="00226773" w:rsidP="005A70B8">
      <w:pPr>
        <w:ind w:firstLine="708"/>
        <w:jc w:val="both"/>
        <w:rPr>
          <w:rFonts w:ascii="Times New Roman" w:hAnsi="Times New Roman" w:cs="Times New Roman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Фонд откажет в согласовании Плана по двум причинам — если у страхователя есть недоимки по страховым взносам или бюджет на ФПМ уже распределен.</w:t>
      </w:r>
    </w:p>
    <w:p w:rsidR="005A70B8" w:rsidRPr="005A70B8" w:rsidRDefault="00226773" w:rsidP="005A70B8">
      <w:pPr>
        <w:ind w:firstLine="708"/>
        <w:jc w:val="both"/>
        <w:rPr>
          <w:rFonts w:ascii="Times New Roman" w:hAnsi="Times New Roman" w:cs="Times New Roman"/>
        </w:rPr>
      </w:pPr>
      <w:r w:rsidRPr="005A70B8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Территориальное отделение СФР публикует на своем сайте информацию о поданных заявках и результатах их рассмотрения</w:t>
      </w:r>
    </w:p>
    <w:sectPr w:rsidR="005A70B8" w:rsidRPr="005A70B8" w:rsidSect="005A70B8">
      <w:pgSz w:w="11906" w:h="16838"/>
      <w:pgMar w:top="567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17C6"/>
    <w:multiLevelType w:val="multilevel"/>
    <w:tmpl w:val="684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941E3"/>
    <w:multiLevelType w:val="multilevel"/>
    <w:tmpl w:val="0C76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17D4"/>
    <w:rsid w:val="00226773"/>
    <w:rsid w:val="005A70B8"/>
    <w:rsid w:val="00E0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7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17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0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17D4"/>
    <w:rPr>
      <w:color w:val="0000FF"/>
      <w:u w:val="single"/>
    </w:rPr>
  </w:style>
  <w:style w:type="character" w:styleId="a5">
    <w:name w:val="Strong"/>
    <w:basedOn w:val="a0"/>
    <w:uiPriority w:val="22"/>
    <w:qFormat/>
    <w:rsid w:val="00E017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3" Type="http://schemas.openxmlformats.org/officeDocument/2006/relationships/hyperlink" Target="https://normativ.kontur.ru/document?moduleId=1&amp;documentId=482784&amp;rangeId=6565492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8" Type="http://schemas.openxmlformats.org/officeDocument/2006/relationships/hyperlink" Target="https://normativ.kontur.ru/document?moduleId=44&amp;documentId=4770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7" Type="http://schemas.openxmlformats.org/officeDocument/2006/relationships/hyperlink" Target="https://normativ.kontur.ru/document?moduleId=1&amp;documentId=40844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2" Type="http://schemas.openxmlformats.org/officeDocument/2006/relationships/hyperlink" Target="https://normativ.kontur.ru/document?moduleId=1&amp;documentId=482784&amp;rangeId=6565489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7" Type="http://schemas.openxmlformats.org/officeDocument/2006/relationships/hyperlink" Target="https://normativ.kontur.ru/document?moduleId=1&amp;documentId=46110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82784&amp;rangeId=6565493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0" Type="http://schemas.openxmlformats.org/officeDocument/2006/relationships/hyperlink" Target="https://normativ.kontur.ru/document?moduleId=1&amp;documentId=342127&amp;p=1210&amp;utm_source=yandex&amp;utm_medium=organic&amp;utm_campaign=buhgroup&amp;utm_content=5_shagov_v_otdele_kadrov_post_10.01.2025&amp;utm_referer=yandex.ru&amp;utm_startpage=www.kontur-extern.ru%2Finfo%2F25387-finansirovanie_predupreditelnyx_mer&amp;utm_orderpage=www.kontur-extern.ru%2Finfo%2F25387-finansirovanie_predupreditelnyx_m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4703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1" Type="http://schemas.openxmlformats.org/officeDocument/2006/relationships/hyperlink" Target="https://normativ.kontur.ru/document?moduleId=1&amp;documentId=482784&amp;rangeId=656548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ormativ.kontur.ru/document?moduleId=1&amp;documentId=424013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9" Type="http://schemas.openxmlformats.org/officeDocument/2006/relationships/hyperlink" Target="https://normativ.kontur.ru/document?moduleId=1&amp;documentId=482784&amp;rangeId=6565499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2784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14" Type="http://schemas.openxmlformats.org/officeDocument/2006/relationships/hyperlink" Target="https://normativ.kontur.ru/document?moduleId=1&amp;documentId=424308&amp;p=1210&amp;utm_source=yandex&amp;utm_medium=organic&amp;utm_referer=yandex.ru&amp;utm_startpage=www.kontur-extern.ru%2Finfo%2F25387-finansirovanie_predupreditelnyx_mer&amp;utm_orderpage=www.kontur-extern.ru%2Finfo%2F25387-finansirovanie_predupreditelnyx_m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1834</Words>
  <Characters>10455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5</cp:revision>
  <dcterms:created xsi:type="dcterms:W3CDTF">2025-07-09T08:55:00Z</dcterms:created>
  <dcterms:modified xsi:type="dcterms:W3CDTF">2025-07-09T10:27:00Z</dcterms:modified>
</cp:coreProperties>
</file>