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p+(p)"/>
        <w:contextualSpacing w:val="true"/>
        <w:jc w:val="center"/>
        <w:spacing w:after="0" w:before="0"/>
      </w:pPr>
      <w:r>
        <w:rPr>
          <w:rStyle w:val="b-2-c"/>
          <w:b/>
        </w:rPr>
        <w:t xml:space="preserve">Рейтинг поставщиков услуг в Прохоровском районе</w:t>
      </w:r>
    </w:p>
    <w:p>
      <w:pPr>
        <w:rPr>
          <w:vanish/>
        </w:rPr>
      </w:pPr>
    </w:p>
    <w:tbl>
      <w:tblPr>
        <w:tblStyle w:val="table"/>
        <w:tblW w:w="0" w:type="auto"/>
      </w:tblP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b-5-c"/>
                <w:b/>
              </w:rPr>
              <w:t xml:space="preserve">№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b-5-c"/>
                <w:b/>
              </w:rPr>
              <w:t xml:space="preserve">Поставщик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b-5-c"/>
                <w:b/>
              </w:rPr>
              <w:t xml:space="preserve">Муниципальное образование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b-5-c"/>
                <w:b/>
              </w:rPr>
              <w:t xml:space="preserve">Уровень удовлетворенности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b-5-c"/>
                <w:b/>
              </w:rPr>
              <w:t xml:space="preserve">Количество оценок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"Радьковский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"Тетеревинская ООШ" Прохоровского района 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Беленихинского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"Радьковская СОШ"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МБДОУ «Детский сад «Сказка» с.Беленихино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"Кривошеевский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Холоднянского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"Призначенская СОШ" Прохоровского района 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Кривошеевского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МБДОУ "Детский сад №3 "Ивушка" п.Прохоровка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"Прелестненский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"Прелестненская СОШ"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13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ООО «ЕВРОЛОГИСТИК»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14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ИП Бекетов А.В. "Автосервис"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15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ИП Резников А.А. Глава КФХ «Арника»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16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«Ржавецкий сельский дом культуры»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17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"Шаховский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18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МБДОУ "Детский сад "Капелька" с. Призначное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19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"Плотавская СОШ"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20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"Лучковская СОШ"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Лучковского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22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Журавского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23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Ржавецкого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24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"Лучковский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25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Шаховского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26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МБУ "Физкультурно-спортивный клуб "Прохоровское поле"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99.07%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27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27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"Холоднянский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97.92%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28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"Сагайдаченская ООШ"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96.88%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29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Парикмахерская Прохоровского РАЙПО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96.67%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30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"Журавский 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95.83%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ДОД «Детско-юношеская спортивная школа»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32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"Центральная библиотечная система Прохоровского района"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94.44%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33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"Петровский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91.67%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34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"Вязовской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90.28%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35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 "Управление физической культуры, спорта и молодёжной политики администрации Прохоровского района"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36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ООО «Заря 2000»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90%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37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МБДОУ "Детский сад общеразвивающего вида № 2 "Родничок" п.Прохоровка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89.58%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38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МБУ ФСК "Олимп"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89.29%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39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"Беленихинская СОШ имени А.С. Касатонова"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89.06%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40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МБУК "Парк регионального значения "Ключи"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89%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Управление строительства, ЖКХ и транспорта адмнистрации муниципального района "Прохоровский район"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88.04%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163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42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МКУК "Маломаяченский сельский дом культуры"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87.5%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43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ИП Кремнев Ю.К., Магазин «Русалочка»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87.5%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44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Маломаяченского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87.5%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45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Отдел УМВД России по Прохоровскому району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87.5%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46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Прелестненского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87.5%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47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Плотавского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87.5%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48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МБУК"Прохоровский районный дом культуры"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86.46%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49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"Шаховская СОШ"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84.09%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50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ГК музея-заповедника Прохоровское - поле, ресторан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83.33%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МУЗЕЙ-ЗАПОВЕДНИК "ПРОХОРОВСКОЕ ПОЛЕ"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83.33%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52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МУП "Пассажирские перевозки"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82.29%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53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городского поселения "Поселок Прохоровка" 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81.94%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54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Отдел «Прохоровский центр занятости населения»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81.73%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104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55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80.68%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56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МБУ "Чистый город"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79.08%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141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57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МКУ "Единая дежурно-диспетчерская служба Прохоровского района"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78.57%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35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58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Главное управление МЧС России по Белгородской области ОНД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78.57%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59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ИП Кузьма А.В. Кафе «Ассортити»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78.33%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60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«Прохоровская гимназия» 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77.08%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24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МУП "Тепловые сети"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77.08%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62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Прохоровская эксплуатационная газовая служба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75.63%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40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63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Администрация Радьковского сельского поселения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64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АО ТД "Перекресток", Универсам "ПЯТЕРОЧКА"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65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МАДОУ детский сад №4 «Березка» п.Прохоровка Прохоровского района 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12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66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"Ржавецкая СОШ"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71.88%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67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МБОУ "Маломаяченская СОШ" Прохоровского района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68.75%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8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68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ОГБУЗ "Прохоровская ЦРБ"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64.09%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69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Кафе "Привал", Прохоровского РАЙПО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70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ИП Поплавская О.А., Швейная мастерская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6</w:t>
            </w:r>
          </w:p>
          <w:p>
            <w:pPr>
              <w:pStyle w:val="normal"/>
            </w:pPr>
          </w:p>
        </w:tc>
      </w:tr>
      <w:tr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71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МБУ ДО «ДЮЦ"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Прохоровский район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50%</w:t>
            </w:r>
          </w:p>
          <w:p>
            <w:pPr>
              <w:pStyle w:val="normal"/>
            </w:pPr>
          </w:p>
        </w:tc>
        <w:tc>
          <w:tcPr>
            <w:tcBorders>
              <w:left w:val="single" w:color="000000" w:sz="1" w:space="0"/>
              <w:top w:val="single" w:color="000000" w:sz="1" w:space="0"/>
              <w:right w:val="single" w:color="000000" w:sz="1" w:space="0"/>
              <w:bottom w:val="single" w:color="000000" w:sz="1" w:space="0"/>
              <w:insideV w:val="single" w:color="000000" w:sz="1" w:space="0"/>
              <w:insideH w:val="single" w:color="000000" w:sz="1" w:space="0"/>
            </w:tcBorders>
            <w:textDirection w:val="lrTb"/>
            <w:noWrap w:val="false"/>
          </w:tcPr>
          <w:p>
            <w:pPr>
              <w:pStyle w:val="p-4"/>
            </w:pPr>
            <w:r>
              <w:rPr>
                <w:rStyle w:val="span-15-c"/>
              </w:rPr>
              <w:t xml:space="preserve">5</w:t>
            </w:r>
          </w:p>
          <w:p>
            <w:pPr>
              <w:pStyle w:val="normal"/>
            </w:pPr>
          </w:p>
        </w:tc>
      </w:tr>
    </w:tbl>
    <w:p>
      <w:pPr>
        <w:pStyle w:val="p+(p)"/>
        <w:contextualSpacing w:val="true"/>
        <w:spacing w:after="0" w:before="0"/>
      </w:pPr>
      <w:r>
        <w:rPr>
          <w:rStyle w:val="p-c+(p-c)-c"/>
        </w:rPr>
        <w:t xml:space="preserve"> </w:t>
      </w:r>
    </w:p>
    <w:p/>
    <w:sectPr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."/>
  <w:listSeparator w:val=",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sz w:val="22"/>
        <w:szCs w:val="22"/>
        <w:lang w:val="ru-RU" w:bidi="ar-SA" w:eastAsia="en-US"/>
      </w:rPr>
    </w:rPrDefault>
    <w:pPrDefault>
      <w:pPr>
        <w:spacing w:lineRule="auto" w:line="276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li">
    <w:name w:val="List Paragraph"/>
    <w:basedOn w:val="normal"/>
    <w:qFormat/>
    <w:uiPriority w:val="34"/>
    <w:pPr>
      <w:contextualSpacing w:val="true"/>
      <w:ind w:left="720"/>
    </w:pPr>
  </w:style>
  <w:style w:type="character" w:styleId="a">
    <w:name w:val="Hyperlink"/>
    <w:uiPriority w:val="99"/>
    <w:unhideWhenUsed/>
    <w:rPr>
      <w:color w:val="0000FF" w:themeColor="hyperlink"/>
      <w:u w:val="single"/>
    </w:rPr>
  </w:style>
  <w:style w:type="table" w:styleId="table-based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table">
    <w:name w:val="Table Grid"/>
    <w:basedOn w:val="table-based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footnote">
    <w:name w:val="footnote reference"/>
    <w:uiPriority w:val="99"/>
    <w:unhideWhenUsed/>
    <w:rPr>
      <w:vertAlign w:val="superscript"/>
    </w:rPr>
  </w:style>
  <w:style w:type="paragraph" w:styleId="footnote-p">
    <w:name w:val="footnote text"/>
    <w:basedOn w:val="normal"/>
    <w:link w:val="footnote-c"/>
    <w:uiPriority w:val="99"/>
    <w:semiHidden/>
    <w:unhideWhenUsed/>
    <w:rPr>
      <w:sz w:val="18"/>
    </w:rPr>
    <w:pPr>
      <w:spacing w:lineRule="auto" w:line="240" w:after="40"/>
    </w:pPr>
  </w:style>
  <w:style w:type="character" w:styleId="footnote-c" w:customStyle="1">
    <w:name w:val="footnote text character"/>
    <w:link w:val="footnote-p"/>
    <w:uiPriority w:val="99"/>
    <w:rPr>
      <w:sz w:val="18"/>
    </w:rPr>
  </w:style>
  <w:style w:type="paragraph" w:styleId="p" w:customStyle="1">
    <w:name w:val="Paragraph"/>
    <w:basedOn w:val="normal"/>
    <w:link w:val="p-c"/>
  </w:style>
  <w:style w:type="paragraph" w:styleId="p+(p)" w:customStyle="1">
    <w:name w:val="Paragraph"/>
    <w:basedOn w:val="normal"/>
    <w:link w:val="p-c"/>
    <w:qFormat/>
  </w:style>
  <w:style w:type="character" w:styleId="p-c" w:customStyle="1">
    <w:name w:val="Paragraph character"/>
    <w:link w:val="p"/>
    <w:rPr>
      <w:rFonts w:ascii="Arial" w:hAnsi="Arial" w:cs="Arial" w:eastAsia="Arial"/>
    </w:rPr>
  </w:style>
  <w:style w:type="character" w:styleId="(p-c)-c" w:customStyle="1">
    <w:name w:val="p-c"/>
    <w:link w:val="p"/>
    <w:rPr>
      <w:rFonts w:ascii="Arial" w:hAnsi="Arial" w:cs="Arial" w:eastAsia="Arial"/>
    </w:rPr>
  </w:style>
  <w:style w:type="character" w:styleId="b-2-c" w:customStyle="1">
    <w:name w:val="b-2-c"/>
    <w:basedOn w:val="(p-c)-c"/>
    <w:rPr>
      <w:rFonts w:ascii="times new roman" w:hAnsi="times new roman" w:cs="times new roman" w:eastAsia="times new roman"/>
      <w:color w:val="000000"/>
      <w:sz w:val="28"/>
      <w:szCs w:val="28"/>
    </w:rPr>
  </w:style>
  <w:style w:type="paragraph" w:styleId="p-4" w:customStyle="1">
    <w:name w:val="p-4"/>
    <w:basedOn w:val="p+(p)"/>
    <w:qFormat/>
    <w:pPr>
      <w:pBdr>
        <w:left w:val="none" w:sz="0" w:space="4" w:color="auto"/>
        <w:top w:val="none" w:sz="0" w:space="4" w:color="auto"/>
        <w:right w:val="none" w:sz="0" w:space="4" w:color="auto"/>
        <w:bottom w:val="none" w:sz="0" w:space="4" w:color="auto"/>
      </w:pBdr>
    </w:pPr>
  </w:style>
  <w:style w:type="character" w:styleId="b-5-c" w:customStyle="1">
    <w:name w:val="b-5-c"/>
    <w:basedOn w:val="(p-c)-c"/>
    <w:rPr>
      <w:rFonts w:ascii="times new roman" w:hAnsi="times new roman" w:cs="times new roman" w:eastAsia="times new roman"/>
      <w:color w:val="000000"/>
      <w:sz w:val="28"/>
      <w:szCs w:val="28"/>
    </w:rPr>
  </w:style>
  <w:style w:type="character" w:styleId="span-15-c" w:customStyle="1">
    <w:name w:val="span-15-c"/>
    <w:basedOn w:val="(p-c)-c"/>
    <w:rPr>
      <w:rFonts w:ascii="times new roman" w:hAnsi="times new roman" w:cs="times new roman" w:eastAsia="times new roman"/>
      <w:color w:val="000000"/>
      <w:sz w:val="28"/>
      <w:szCs w:val="28"/>
    </w:rPr>
  </w:style>
  <w:style w:type="character" w:styleId="p-c+(p-c)-c" w:customStyle="1">
    <w:name w:val="Paragraph character"/>
    <w:link w:val="p"/>
    <w:rPr>
      <w:rFonts w:ascii="Arial" w:hAnsi="Arial" w:cs="Arial" w:eastAsia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