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9B2">
        <w:rPr>
          <w:rFonts w:ascii="Times New Roman" w:hAnsi="Times New Roman" w:cs="Times New Roman"/>
          <w:b/>
          <w:sz w:val="28"/>
          <w:szCs w:val="28"/>
        </w:rPr>
        <w:t>Дополнен перечень видов объектов, размещение которых может осуществляться без предоставления земельных участков и установления сервитутов</w:t>
      </w: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26.10.2022 № 1904 дополнен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В указанный перечень включены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Изменения вступят в силу 05.11.2022. </w:t>
      </w: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504" w:rsidRPr="006779B2" w:rsidRDefault="00153504" w:rsidP="0015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779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353F" w:rsidRDefault="0078353F"/>
    <w:sectPr w:rsidR="0078353F" w:rsidSect="0078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3504"/>
    <w:rsid w:val="00153504"/>
    <w:rsid w:val="0078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2022-11-30T11:14:00Z</dcterms:created>
  <dcterms:modified xsi:type="dcterms:W3CDTF">2022-11-30T11:17:00Z</dcterms:modified>
</cp:coreProperties>
</file>